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3" w:rsidRDefault="006F4249">
      <w:pPr>
        <w:pStyle w:val="ConsPlusTitle"/>
        <w:jc w:val="center"/>
      </w:pPr>
      <w:bookmarkStart w:id="0" w:name="_GoBack"/>
      <w:bookmarkEnd w:id="0"/>
      <w:r>
        <w:t>ГОСУДАРСТВЕННАЯ КОРПОРАЦИЯ ПО АТОМНОЙ ЭНЕРГИИ "РОСАТОМ"</w:t>
      </w:r>
    </w:p>
    <w:p w:rsidR="007B3333" w:rsidRDefault="006F4249">
      <w:pPr>
        <w:pStyle w:val="ConsPlusTitle"/>
        <w:jc w:val="center"/>
      </w:pPr>
      <w:r>
        <w:t>(Госкорпорация "Росатом")</w:t>
      </w:r>
    </w:p>
    <w:p w:rsidR="007B3333" w:rsidRDefault="007B3333">
      <w:pPr>
        <w:pStyle w:val="ConsPlusTitle"/>
        <w:jc w:val="center"/>
      </w:pPr>
    </w:p>
    <w:p w:rsidR="007B3333" w:rsidRDefault="006F4249">
      <w:pPr>
        <w:pStyle w:val="ConsPlusTitle"/>
        <w:jc w:val="center"/>
        <w:outlineLvl w:val="0"/>
      </w:pPr>
      <w:r>
        <w:t>ПРИКАЗ</w:t>
      </w:r>
    </w:p>
    <w:p w:rsidR="007B3333" w:rsidRDefault="006F4249">
      <w:pPr>
        <w:pStyle w:val="ConsPlusTitle"/>
        <w:jc w:val="center"/>
      </w:pPr>
      <w:r>
        <w:t>1 декабря 2017 г. N 1/1210-П</w:t>
      </w:r>
    </w:p>
    <w:p w:rsidR="007B3333" w:rsidRDefault="007B3333">
      <w:pPr>
        <w:pStyle w:val="ConsPlusTitle"/>
        <w:jc w:val="center"/>
      </w:pPr>
    </w:p>
    <w:p w:rsidR="007B3333" w:rsidRDefault="006F4249">
      <w:pPr>
        <w:pStyle w:val="ConsPlusTitle"/>
        <w:jc w:val="center"/>
      </w:pPr>
      <w:r>
        <w:t>ОБ УТВЕРЖДЕНИИ ПОЛОЖЕНИЯ</w:t>
      </w:r>
    </w:p>
    <w:p w:rsidR="007B3333" w:rsidRDefault="006F4249">
      <w:pPr>
        <w:pStyle w:val="ConsPlusTitle"/>
        <w:jc w:val="center"/>
      </w:pPr>
      <w:r>
        <w:t>О СИСТЕМЕ КАЛИБРОВКИ В ОБЛАСТИ ИСПОЛЬЗОВАНИЯ АТОМНОЙ ЭНЕРГИИ</w:t>
      </w:r>
    </w:p>
    <w:p w:rsidR="007B3333" w:rsidRDefault="007B3333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B3333">
        <w:tc>
          <w:tcPr>
            <w:tcW w:w="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9921" w:type="dxa"/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 xml:space="preserve">(в ред. Приказа Госкорпорации "Росатом" от </w:t>
            </w:r>
            <w:r>
              <w:t>16.11.2022 N 1/1521-П)</w:t>
            </w:r>
          </w:p>
        </w:tc>
        <w:tc>
          <w:tcPr>
            <w:tcW w:w="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333" w:rsidRDefault="007B3333">
            <w:pPr>
              <w:pStyle w:val="ConsPlusNormal"/>
              <w:jc w:val="center"/>
            </w:pP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В целях формирования системы калибровки в атомной отрасли и во исполнение требований приказа Госкорпорации "Росатом" от 31.10.2013 N 1/10-НПА "Об утверждении метрологических требований к измерениям, эталонам единиц величин, </w:t>
      </w:r>
      <w:r>
        <w:t>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энергии", приказываю: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1. Утвердить Положение о системе калибровки в области использования </w:t>
      </w:r>
      <w:r>
        <w:t xml:space="preserve">атомной энергии (далее - Положение, </w:t>
      </w:r>
      <w:hyperlink w:anchor="Par34" w:tooltip="Приложение N 1" w:history="1">
        <w:r>
          <w:rPr>
            <w:color w:val="0000FF"/>
          </w:rPr>
          <w:t>приложение N 1</w:t>
        </w:r>
      </w:hyperlink>
      <w:r>
        <w:t>).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2. Рекомендовать руководителям федеральных государственных унитарных предприятий, в отношении которых Госкорпорация "Росатом" осуществляет от имени Российской Ф</w:t>
      </w:r>
      <w:r>
        <w:t>едерации полномочия собственника имущества, акционерных обществ, акции которых принадлежат Российской Федерации и в отношении которых Госкорпорация "Росатом" осуществляет полномочия акционера, их дочерних обществ, хозяйственных обществ, акции (доли) которы</w:t>
      </w:r>
      <w:r>
        <w:t>х находятся в собственности Госкорпорации "Росатом", их дочерних обществ, учреждений, созданных Госкорпорацией "Росатом" и вышеуказанными организациями, обеспечить принятие локальных нормативных актов организации, предусматривающих реализацию Положения.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Ср</w:t>
      </w:r>
      <w:r>
        <w:t>ок - до 30.12.2017.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3. Назначить базовой организацией метрологической службы по калибровке частное учреждение "Институт технического регулирования, обеспечения единства измерений и стандартизации Росатома" (далее - частное учреждение "Атомстандарт") (Мороз</w:t>
      </w:r>
      <w:r>
        <w:t>ов В.В., по согласованию).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4. Директору частного учреждения "Атомстандарт" Морозову В.В. (по согласованию):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4.1. Представить мне на утверждение регламентирующие документы, устанавливающие требования к калибровочным лабораториям и требования к </w:t>
      </w:r>
      <w:r>
        <w:lastRenderedPageBreak/>
        <w:t>методикам кал</w:t>
      </w:r>
      <w:r>
        <w:t>ибровки, согласованные с главным метрологом Госкорпорации "Росатом" Обысовым Н.А.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Срок - до 25.12.2017.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4.2. Разработать и представить мне на утверждение Положение о базовой организации метрологической службы по калибровке.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Срок - до 25.12.2017.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5. Внести </w:t>
      </w:r>
      <w:r>
        <w:t xml:space="preserve">изменения в приказ Госкорпорации "Росатом" от 16.11.2015 N 1/1092-П "О метрологической службе Госкорпорации "Росатом" согласно </w:t>
      </w:r>
      <w:hyperlink w:anchor="Par1050" w:tooltip="Приложение N 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6. Главному метрологу Госкорпорации "Росатом" О</w:t>
      </w:r>
      <w:r>
        <w:t>бысову Н.А. внести изменения в должностную инструкцию главного метролога Госкорпорации "Росатом" в отношении функций и полномочий, приведенных в Положении, и представить должностную инструкцию мне на утверждение.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Срок - до 25.12.2017.</w:t>
      </w: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right"/>
      </w:pPr>
      <w:r>
        <w:t xml:space="preserve">Первый заместитель </w:t>
      </w:r>
      <w:r>
        <w:t>генерального директора</w:t>
      </w:r>
    </w:p>
    <w:p w:rsidR="007B3333" w:rsidRDefault="006F4249">
      <w:pPr>
        <w:pStyle w:val="ConsPlusNormal"/>
        <w:jc w:val="right"/>
      </w:pPr>
      <w:r>
        <w:t>по операционному управлению</w:t>
      </w:r>
    </w:p>
    <w:p w:rsidR="007B3333" w:rsidRDefault="006F4249">
      <w:pPr>
        <w:pStyle w:val="ConsPlusNormal"/>
        <w:jc w:val="right"/>
      </w:pPr>
      <w:r>
        <w:t>А.М. ЛОКШИН</w:t>
      </w: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right"/>
        <w:outlineLvl w:val="1"/>
      </w:pPr>
      <w:bookmarkStart w:id="1" w:name="Par34"/>
      <w:bookmarkEnd w:id="1"/>
      <w:r>
        <w:t>Приложение N 1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right"/>
      </w:pPr>
      <w:r>
        <w:t>УТВЕРЖДЕНО</w:t>
      </w:r>
    </w:p>
    <w:p w:rsidR="007B3333" w:rsidRDefault="006F4249">
      <w:pPr>
        <w:pStyle w:val="ConsPlusNormal"/>
        <w:jc w:val="right"/>
      </w:pPr>
      <w:r>
        <w:t>приказом Госкорпорации "Росатом"</w:t>
      </w:r>
    </w:p>
    <w:p w:rsidR="007B3333" w:rsidRDefault="006F4249">
      <w:pPr>
        <w:pStyle w:val="ConsPlusNormal"/>
        <w:jc w:val="right"/>
      </w:pPr>
      <w:r>
        <w:t>от 01.12.2017 г. N 1/1210-П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Title"/>
        <w:jc w:val="center"/>
      </w:pPr>
      <w:r>
        <w:t>ПОЛОЖЕНИЕ</w:t>
      </w:r>
    </w:p>
    <w:p w:rsidR="007B3333" w:rsidRDefault="006F4249">
      <w:pPr>
        <w:pStyle w:val="ConsPlusTitle"/>
        <w:jc w:val="center"/>
      </w:pPr>
      <w:r>
        <w:t>о системе калибровки в области использования атомной энергии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  <w:outlineLvl w:val="2"/>
      </w:pPr>
      <w:r>
        <w:rPr>
          <w:b/>
        </w:rPr>
        <w:t>1. Область применения</w:t>
      </w:r>
    </w:p>
    <w:p w:rsidR="007B3333" w:rsidRDefault="006F4249">
      <w:pPr>
        <w:pStyle w:val="ConsPlusNormal"/>
        <w:ind w:firstLine="540"/>
        <w:jc w:val="both"/>
      </w:pPr>
      <w:r>
        <w:t xml:space="preserve">1.1. </w:t>
      </w:r>
      <w:r>
        <w:t>Настоящее Положение о системе калибровки в области использования атомной энергии (далее - Положение) устанавливает основные требования к организации, структуре и функциям системы калибровки в области использования атомной энергии (АСК), главные задачи и по</w:t>
      </w:r>
      <w:r>
        <w:t>рядок действий субъектов деятельности системы.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1.2. Настоящее Положение применяется при организации и проведении работ по калибровке в области использования атомной энергии организациями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lastRenderedPageBreak/>
        <w:t>1.3. При организации и проведении работ в со</w:t>
      </w:r>
      <w:r>
        <w:t>ответствии с настоящим Положением должно быть обеспечено выполнение требований нормативных правовых актов Российской Федерации и локальных нормативных актов Госкорпорации "Росатом" по защите сведений, составляющих государственную тайну, и иных сведений огр</w:t>
      </w:r>
      <w:r>
        <w:t>аниченного доступа.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  <w:outlineLvl w:val="2"/>
      </w:pPr>
      <w:r>
        <w:rPr>
          <w:b/>
        </w:rPr>
        <w:t>2. Термины, определения и сокращения</w:t>
      </w:r>
    </w:p>
    <w:p w:rsidR="007B3333" w:rsidRDefault="006F4249">
      <w:pPr>
        <w:pStyle w:val="ConsPlusNormal"/>
        <w:ind w:firstLine="540"/>
        <w:jc w:val="both"/>
      </w:pPr>
      <w:r>
        <w:t>2.1. Для целей настоящего Положения применяются следующие термины с соответствующими определениями: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576"/>
      </w:tblGrid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Термин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Единство измерений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состояние измерений, при котором их результаты выражены в </w:t>
            </w:r>
            <w:r>
              <w:t>допущенных к применению в Российской Федерации единицах величин, а показатели точности измерений не выходят за установленные границы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организация Госкорпорации "Росатом" или иная организация, направившая заявку на оценку компетентности в выполнен</w:t>
            </w:r>
            <w:r>
              <w:t>ии калибровочных работ в ОИАЭ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Инспекционный контроль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систематическая деятельность, заключающаяся в осуществлении проверок организаций, зарегистрированных в АСК, на соответствие их калибровочной деятельности требованиям АСК и ГОСТ ISO/IEC 17025-2019</w:t>
            </w:r>
          </w:p>
        </w:tc>
      </w:tr>
      <w:tr w:rsidR="007B3333">
        <w:tc>
          <w:tcPr>
            <w:tcW w:w="90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(слова заменены в ред. Приказа Госкорпорации "Росатом" от 16.11.2022 N 1/1521-П)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Калибровка (средств измерений)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совокупность операций, выполняемых в целях определения действительных значений метрологических характеристик (средств измерений)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Калибровочная</w:t>
            </w:r>
            <w:r>
              <w:t xml:space="preserve"> лаборатория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организация или подразделение организации непосредственно выполняющее калибровочные работы.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Метрологическая служба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юридическое лицо, подразделение юридического лица или объединение юридических лиц, либо работник (работники) юридического лица,</w:t>
            </w:r>
            <w:r>
              <w:t xml:space="preserve"> либо индивидуальный предприниматель, либо подведомственная организация федерального органа исполнительной власти, его подразделение или должностное лицо, выполняющие работы и (или) оказывающие услуги по обеспечению единства измерений и действующие на осно</w:t>
            </w:r>
            <w:r>
              <w:t>вании положения о метрологической службе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Область признания компетентности в выполнении калибровочных работ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документ, являющийся неотъемлемой частью Свидетельства о признании компетентности в АСК и содержащий перечень групп (типов) объектов, компетентность</w:t>
            </w:r>
            <w:r>
              <w:t xml:space="preserve"> организации в калибровке которых была подтверждена в процессе оценки и подтверждения соответствия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Подтверждающая организация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организация, выполняющая работы по проведению оценки компетентности в выполнении калибровки в области использования атомной энерг</w:t>
            </w:r>
            <w:r>
              <w:t>ии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Система калибровки в области использования атомной энергии (АСК)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совокупность субъектов, деятельность которых в части организации и выполнения калибровочных работ в области использования атомной энергии направлена на обеспечение единства измерений и </w:t>
            </w:r>
            <w:r>
              <w:t>осуществляется в соответствии с едиными требованиями в рамках структуры и правил, установленных документами АСК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Сертификат калибровки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документ, удостоверяющий факт и результаты калибровки, выдаваемый осуществляющей калибровку организацией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Средство измере</w:t>
            </w:r>
            <w:r>
              <w:t>ний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техническое средство, предназначенное для измерений </w:t>
            </w:r>
            <w:hyperlink r:id="rId4" w:anchor="Par82" w:tooltip="1 В настоящем Положении используется понятие " w:history="1">
              <w:r>
                <w:rPr>
                  <w:color w:val="0000FF"/>
                  <w:vertAlign w:val="superscript"/>
                </w:rPr>
                <w:t>1</w:t>
              </w:r>
            </w:hyperlink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Экспертная организация АСК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организация, соответствующая требован</w:t>
            </w:r>
            <w:r>
              <w:t>иям АСК к проведению оценки компетентности в выполнении калибровки в области использования атомной энергии</w:t>
            </w:r>
          </w:p>
        </w:tc>
      </w:tr>
      <w:tr w:rsidR="007B333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Эксперт-метролог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специалист по калибровке в ОИАЭ, имеющий аттестат, подтверждающий его квалификацию в соответствии с требованиями настоящего Положен</w:t>
            </w:r>
            <w:r>
              <w:t>ия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--------------------------------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3" w:name="Par82"/>
      <w:bookmarkEnd w:id="3"/>
      <w:r>
        <w:rPr>
          <w:vertAlign w:val="superscript"/>
        </w:rPr>
        <w:lastRenderedPageBreak/>
        <w:t>1</w:t>
      </w:r>
      <w:r>
        <w:t xml:space="preserve"> В настоящем Положении используется понятие "средство измерений"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26.07.2008 N 102-ФЗ "Об обеспечении единства измерений". Объектами калибровки в настоящем Положении являются технические средства, предназначенные для измерений, хранения и/или воспроизв</w:t>
      </w:r>
      <w:r>
        <w:t>едения, передачи единиц величин, среди которых: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средства измерений, включая средства измерений, применяемые в качестве эталонов, и технические средства, отнесенные к средствам измерений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Госкорпорации "Росатом" от 15.11.2013 N 1/13-НПА "Об утверждении Положения о порядке отнесения т</w:t>
      </w:r>
      <w:r>
        <w:t>ехнических средств, применяемых в области использования атомной энергии, к средствам измерений";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аттестованные объекты (некоторые виды), эталоны (в т.ч. аттестованные объекты, выполняющие роль эталонов);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составные части технических систем и устройств, выпо</w:t>
      </w:r>
      <w:r>
        <w:t>лняющие измерительные функции.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2.2. В настоящем Положении приняты следующие сокращения: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АСК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система калибровки в области использования атомной энергии</w:t>
            </w:r>
          </w:p>
        </w:tc>
      </w:tr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БОМС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базовая организация метрологической службы по калибровке</w:t>
            </w:r>
          </w:p>
        </w:tc>
      </w:tr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ГОМС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головная </w:t>
            </w:r>
            <w:r>
              <w:t>организация метрологической службы по дивизиону (комплексу, блоку, далее - дивизион)</w:t>
            </w:r>
          </w:p>
        </w:tc>
      </w:tr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Приказ</w:t>
            </w:r>
          </w:p>
          <w:p w:rsidR="007B3333" w:rsidRDefault="006F4249">
            <w:pPr>
              <w:pStyle w:val="ConsPlusNormal"/>
            </w:pPr>
            <w:r>
              <w:t>1/10-НПА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Госкорпорации "Росатом" от 31.10.2013 N 1/10-НПА "Об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</w:t>
            </w:r>
            <w:r>
              <w:t>меняемым в области использования атомной энергии" (зарегистрирован в Минюсте России 27.02.2014, регистрационный N 31442)</w:t>
            </w:r>
          </w:p>
        </w:tc>
      </w:tr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МХ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метрологические характеристики</w:t>
            </w:r>
          </w:p>
        </w:tc>
      </w:tr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ОИАЭ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область использования атомной энергии</w:t>
            </w:r>
          </w:p>
        </w:tc>
      </w:tr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Реестр АСК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Реестр организаций, подтвердивших компетентн</w:t>
            </w:r>
            <w:r>
              <w:t>ость в выполнении калибровочных работ в ОИАЭ</w:t>
            </w:r>
          </w:p>
        </w:tc>
      </w:tr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СИ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средство измерений</w:t>
            </w:r>
          </w:p>
        </w:tc>
      </w:tr>
      <w:tr w:rsidR="007B33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ЭОК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экспертная организация АСК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  <w:outlineLvl w:val="2"/>
      </w:pPr>
      <w:r>
        <w:rPr>
          <w:b/>
        </w:rPr>
        <w:t>3. Основные положения</w:t>
      </w:r>
    </w:p>
    <w:p w:rsidR="007B3333" w:rsidRDefault="006F4249">
      <w:pPr>
        <w:pStyle w:val="ConsPlusNormal"/>
        <w:ind w:firstLine="540"/>
        <w:jc w:val="both"/>
      </w:pPr>
      <w:r>
        <w:t xml:space="preserve">3.1. Целью АСК является достижение требуемой точности результатов измерений в ОИАЭ для принятия обоснованных и надежных решений в </w:t>
      </w:r>
      <w:r>
        <w:t>процессах производства, сооружения, эксплуатации, вывода из эксплуатации и утилизации объектов использования атомной энергии, обеспечение прослеживаемости результатов измерений на основе действительных значений МХ.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3.2. АСК действует в соответствии с требо</w:t>
      </w:r>
      <w:r>
        <w:t xml:space="preserve">ваниями </w:t>
      </w:r>
      <w:hyperlink r:id="rId8" w:history="1">
        <w:r>
          <w:rPr>
            <w:color w:val="0000FF"/>
          </w:rPr>
          <w:t>приказа</w:t>
        </w:r>
      </w:hyperlink>
      <w:r>
        <w:t xml:space="preserve"> 1/10-НПА, ГОСТ ISO/IEC 17025-2019 и системы документов АСК.</w:t>
      </w:r>
    </w:p>
    <w:p w:rsidR="007B3333" w:rsidRDefault="006F4249">
      <w:pPr>
        <w:pStyle w:val="ConsPlusNormal"/>
        <w:jc w:val="both"/>
      </w:pPr>
      <w:r>
        <w:t>(п. 3.2. слова заме</w:t>
      </w:r>
      <w:r>
        <w:t>нены в ред. Приказа Госкорпорации "Росатом" от 16.11.2022 N 1/1521-П)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3.3. Система документов АСК включает настоящее Положение, а также </w:t>
      </w:r>
      <w:r>
        <w:lastRenderedPageBreak/>
        <w:t>регламентирующие документы Госкорпорации "Росатом", устанавливающие требования к калибровочным лабораториям и требования</w:t>
      </w:r>
      <w:r>
        <w:t xml:space="preserve"> к методикам калибровки.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3.4. Калибровку проводят в отношении определения действительных значений МХ калибруемых объектов, в том числе: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а) СИ, применяемых в сфере государственного регулирования (для СИ утвержденного типа, прошедших поверку), - для оценки п</w:t>
      </w:r>
      <w:r>
        <w:t>оказателей точности измерений в рабочих условиях выполнения измерений в течение межповерочного интервала;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б) СИ, применяемых вне сферы государственного регулирования (СИ утвержденного типа, так и СИ, тип которых не утвержден), - для оценки показателей точн</w:t>
      </w:r>
      <w:r>
        <w:t>ости измерений как в нормальных, так и в рабочих условиях.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При этом для СИ, применяемых в ОИАЭ и не подвергающихся поверке, проведение калибровки является обязательным (</w:t>
      </w:r>
      <w:hyperlink r:id="rId9" w:history="1">
        <w:r>
          <w:rPr>
            <w:color w:val="0000FF"/>
          </w:rPr>
          <w:t>пункт 3.2</w:t>
        </w:r>
      </w:hyperlink>
      <w:r>
        <w:t xml:space="preserve"> приложения к приказу 1/10-НПА).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  <w:outlineLvl w:val="2"/>
      </w:pPr>
      <w:r>
        <w:rPr>
          <w:b/>
        </w:rPr>
        <w:t>4. Предмет деятельности</w:t>
      </w:r>
    </w:p>
    <w:p w:rsidR="007B3333" w:rsidRDefault="006F4249">
      <w:pPr>
        <w:pStyle w:val="ConsPlusNormal"/>
        <w:ind w:firstLine="540"/>
        <w:jc w:val="both"/>
      </w:pPr>
      <w:r>
        <w:t>Предметом деятельности АСК является: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информационное, организационное и методическое обеспечение калибровочных работ</w:t>
      </w:r>
      <w:r>
        <w:t xml:space="preserve"> в ОИАЭ;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организация и проведение работ по оценке и подтверждению компетентности организаций, выполняющих работы по калибровке, регистрация в АСК организаций, подтвердивших компетентность в выполнении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инспекционный контроль за деятельн</w:t>
      </w:r>
      <w:r>
        <w:t>остью зарегистрированных в АСК организаций;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разработка документов, регламентирующих калибровочную деятельность в ОИАЭ;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ведение Реестра АСК и Реестра ЭОК;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организация повышения квалификации персонала МС организаций, выполняющих калибровку в ОИАЭ;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организаци</w:t>
      </w:r>
      <w:r>
        <w:t>я и проведение аттестации экспертов-метрологов по калибровке из числа специалистов МС организаций;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выполнение калибровочных работ.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Title"/>
        <w:jc w:val="center"/>
        <w:outlineLvl w:val="2"/>
      </w:pPr>
      <w:r>
        <w:t>5. Организационная структура АСК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lastRenderedPageBreak/>
        <w:t>5.1. В организационную структуру АСК входят: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Метрологическая служба Госкорпорации "Росатом"</w:t>
      </w:r>
      <w:r>
        <w:t>, руководство которой осуществляет главный метролог Госкорпорации "Росатом",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БОМС по калибровке,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ГОМС по дивизионам,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Подтверждающие организации, в том числе ЭОК,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центры подготовки персонала,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подтвердившие компетентность в выполнении калибровочных работ в </w:t>
      </w:r>
      <w:r>
        <w:t>ОИАЭ и зарегистрированные в АСК организации.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5.2. БОМС по калибровке назначается приказом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5.3. С учетом специфики выполнения калибровочных работ в дивизионах в деятельности АСК принимают участие ГОМС.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5.4. Имеющие не менее двух экс</w:t>
      </w:r>
      <w:r>
        <w:t xml:space="preserve">пертов-метрологов по калибровке в ОИАЭ организации Госкорпорации "Росатом" могут быть зарегистрированы в качестве ЭОК на основании заявок. Требования к экспертам-метрологам и порядок их аттестации изложены в </w:t>
      </w:r>
      <w:hyperlink w:anchor="Par210" w:tooltip="7.8. Требования к экспертам-метрологам и порядок их аттестации" w:history="1">
        <w:r>
          <w:rPr>
            <w:color w:val="0000FF"/>
          </w:rPr>
          <w:t>п. 7.8</w:t>
        </w:r>
      </w:hyperlink>
      <w:r>
        <w:t>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Решение о регистрации организации (или подразделения) в качестве ЭОК подтверждается Извещением о регистрации в АСК. Извещение подготавливается БОМС и подписывается главным метрологом Госкорпорации "Росато</w:t>
      </w:r>
      <w:r>
        <w:t>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5.5. Организации, подтвердившие компетентность в выполнении калибровочных работ в ОИАЭ, подлежат регистрации в АСК в порядке, описанном в </w:t>
      </w:r>
      <w:hyperlink w:anchor="Par223" w:tooltip="8. Порядок подтверждения компетентности организаций" w:history="1">
        <w:r>
          <w:rPr>
            <w:color w:val="0000FF"/>
          </w:rPr>
          <w:t>разделе 8</w:t>
        </w:r>
      </w:hyperlink>
      <w:r>
        <w:t xml:space="preserve">, и могут выполнять </w:t>
      </w:r>
      <w:r>
        <w:t>калибровочные работы в ОИАЭ в соответствии с подтвержденной Областью признания компетентности в выполнении калибровочных работ, ссылаясь на факт регистрации в АСК.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Title"/>
        <w:jc w:val="center"/>
        <w:outlineLvl w:val="2"/>
      </w:pPr>
      <w:r>
        <w:t>6. Функции элементов структуры АСК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6.1. Метрологическая служба Госкорпорации "Росатом":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рас</w:t>
      </w:r>
      <w:r>
        <w:t>сматривает заявки на регистрацию в качестве ЭОК;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готовит для организаций предложения для включения в научно-техническую программу по совершенствованию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назначает комиссию по аттестации экспертов-метрологов по калибровке в ОИАЭ;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lastRenderedPageBreak/>
        <w:t>формируе</w:t>
      </w:r>
      <w:r>
        <w:t>т годовой план по оценке и подтверждению компетентности в выполнении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участвует в повышении квалификации специалистов по выполнению калибровочных работ, семинаров по обмену опытом калибровочных лабораторий;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 предложению главного метро</w:t>
      </w:r>
      <w:r>
        <w:t>лога Госкорпорации "Росатом" участвует в составе комиссии по оценке и подтверждению компетентности.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6.2. БОМС: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подает предложения в Госкорпорацию "Росатом" по основным направлениям при исследованиях в части калибровки в ОИАЭ;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подает предложения в Госкорпор</w:t>
      </w:r>
      <w:r>
        <w:t>ацию "Росатом" по развитию и совершенствованию калибровочной деятельности в ОИАЭ в целом;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оказывает научно-методическую и организационную помощь организациям, ГОМС и ЭОК;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проводит (по заявкам организаций или ГОМС на договорной основе) метрологическую экспе</w:t>
      </w:r>
      <w:r>
        <w:t>ртизу или разработку проектов методик калибровки, документов по установлению неопределенности результатов калибровки, установлению и корректировке межкалибровочных интервалов, других документов по выполнению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формирует для организаций п</w:t>
      </w:r>
      <w:r>
        <w:t>редложения по совершенствованию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контролирует деятельность ЭОК;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ведет Реестр ЭОК и Реестр АСК;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по представлению Подтверждающей организации присваивает шифр калибровочного клейма, оформляет Свидетельство о признании компетентности </w:t>
      </w:r>
      <w:hyperlink w:anchor="Par352" w:tooltip="Приложение N 1" w:history="1">
        <w:r>
          <w:rPr>
            <w:color w:val="0000FF"/>
          </w:rPr>
          <w:t>(приложение N 1)</w:t>
        </w:r>
      </w:hyperlink>
      <w:r>
        <w:t xml:space="preserve"> и Область признания компетентности в выполнении калибровочных работ </w:t>
      </w:r>
      <w:hyperlink w:anchor="Par398" w:tooltip="Приложение N 2" w:history="1">
        <w:r>
          <w:rPr>
            <w:color w:val="0000FF"/>
          </w:rPr>
          <w:t>(приложение N 2)</w:t>
        </w:r>
      </w:hyperlink>
      <w:r>
        <w:t>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участвует в проведении обучения, повышения квалификации специалис</w:t>
      </w:r>
      <w:r>
        <w:t>тов по выполнению калибровочных работ, семинаров по обмену опытом калибровочных лабораторий;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 предложению главного метролога Госкорпорации "Росатом" участвует в составе комиссии по оценке и подтверждению компетентности.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6.3. ГОМС: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готовит предложения и з</w:t>
      </w:r>
      <w:r>
        <w:t xml:space="preserve">аявки о регистрации ЭОК из числа организаций </w:t>
      </w:r>
      <w:r>
        <w:lastRenderedPageBreak/>
        <w:t>дивизиона;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выполняет функции по научно-методическому, организационному и информационному обеспечению калибровочной деятельности в дивизионе, в том числе в части проведения метрологической экспертизы технических </w:t>
      </w:r>
      <w:r>
        <w:t>заданий на разработку средств и методик калибровки;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ведет базу данных организаций дивизиона, подтвердивших компетентность в выполнении калибровочных работ в ОИАЭ, предоставляет БОМС информацию о калибровочной деятельности в дивизионе;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участвует в повышении</w:t>
      </w:r>
      <w:r>
        <w:t xml:space="preserve"> квалификации специалистов по выполнению калибровочных работ, семинаров по обмену опытом калибровочных лабораторий;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 предложению главного метролога Госкорпорации "Росатом" участвует в составе комиссии по оценке и подтверждению компетентности.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6.4. Подтве</w:t>
      </w:r>
      <w:r>
        <w:t>рждающие организации, в том числе ЭОК: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осуществляют оценку компетентности Заявителей и передают в БОМС материалы для последующей регистрации в АСК;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проводят инспекционный контроль за калибровочной деятельностью зарегистрированных в АСК организаций;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осущест</w:t>
      </w:r>
      <w:r>
        <w:t>вляют ведение в Подтверждающей организации фонда документов, регламентирующих калибровочную деятельность, включая калибровочную деятельность в ОИАЭ;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подают предложения главному метрологу Госкорпорация "Росатом" об отмене или приостановке действия выданных </w:t>
      </w:r>
      <w:r>
        <w:t>субъектами АСК сертификатов калибровки (при наличии сведений о нарушениях в выполнении калибровочных работ, несоответствии СИ сертификату калибровки и в других обоснованных случаях);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участвуют в повышении квалификации специалистов по выполнению калибровочн</w:t>
      </w:r>
      <w:r>
        <w:t>ых работ, в семинарах по обмену опытом калибровочных лабораторий.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4" w:name="Par177"/>
      <w:bookmarkEnd w:id="4"/>
      <w:r>
        <w:t xml:space="preserve">6.5. Центры подготовки персонала </w:t>
      </w:r>
      <w:hyperlink w:anchor="Par186" w:tooltip="2 Центрами подготовки персонала могут быть учебные учреждения, имеющие лицензию Министерства образования и науки Российской Федерации на осуществление образовательной деятельности и учебную программу по курсу калибровки в ОИАЭ." w:history="1">
        <w:r>
          <w:rPr>
            <w:color w:val="0000FF"/>
            <w:vertAlign w:val="superscript"/>
          </w:rPr>
          <w:t>2</w:t>
        </w:r>
      </w:hyperlink>
      <w:r>
        <w:t xml:space="preserve"> организуют и проводят обучение и повышение квалификации экспертов-метрологов и специалистов, осуществляющих калибровку в ОИАЭ.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6.6. Организации, подтверди</w:t>
      </w:r>
      <w:r>
        <w:t>вшие компетентность в выполнении калибровочных работ в соответствии с требованиями АСК и зарегистрированные в АСК: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lastRenderedPageBreak/>
        <w:t>выполняют калибровку в соответствии с Областью признания компетентности в выполнении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обеспечивают актуализацию Руководст</w:t>
      </w:r>
      <w:r>
        <w:t>ва по качеству организации и выполнения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поддерживают в надлежащем состоянии средства калибровки, вспомогательное оборудование и помещения для выполнения калибровочных работ в соответствии с Руководством по качеству организации и выполн</w:t>
      </w:r>
      <w:r>
        <w:t>ения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разрабатывают методики калибровки;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проводят анализ состояния калибровочной деятельности в организации.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--------------------------------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5" w:name="Par186"/>
      <w:bookmarkEnd w:id="5"/>
      <w:r>
        <w:rPr>
          <w:vertAlign w:val="superscript"/>
        </w:rPr>
        <w:t>2</w:t>
      </w:r>
      <w:r>
        <w:t xml:space="preserve"> Центрами подготовки персонала могут быть учебные учреждения, имеющие лицензию Министерства образования и науки Российской Федерации на осуществление образовательной деятельности и учебную программу по курсу калибровки в ОИАЭ.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  <w:outlineLvl w:val="2"/>
      </w:pPr>
      <w:r>
        <w:rPr>
          <w:b/>
        </w:rPr>
        <w:t>7. Порядок регистрации ЭОК</w:t>
      </w:r>
    </w:p>
    <w:p w:rsidR="007B3333" w:rsidRDefault="006F4249">
      <w:pPr>
        <w:pStyle w:val="ConsPlusNormal"/>
        <w:ind w:firstLine="540"/>
        <w:jc w:val="both"/>
      </w:pPr>
      <w:bookmarkStart w:id="6" w:name="Par189"/>
      <w:bookmarkEnd w:id="6"/>
      <w:r>
        <w:t xml:space="preserve">7.1. Претендующая на выполнение функций ЭОК организация (из числа организаций, указанных в </w:t>
      </w:r>
      <w:hyperlink r:id="rId10" w:anchor="Par45" w:tooltip="1.2. Настоящее Положение применяется при организации и проведении работ по калибровке в области использования атомной энергии организациями Госкорпорации " w:history="1">
        <w:r>
          <w:rPr>
            <w:color w:val="0000FF"/>
          </w:rPr>
          <w:t>п. 1.2</w:t>
        </w:r>
      </w:hyperlink>
      <w:r>
        <w:t xml:space="preserve"> настоящего Положения) подает заявку главному метрологу Госкорпорации "Росатом" на регистрацию в АСК в качестве ЭОК по форме, представленной в </w:t>
      </w:r>
      <w:hyperlink w:anchor="Par463" w:tooltip="Приложение N 3" w:history="1">
        <w:r>
          <w:rPr>
            <w:color w:val="0000FF"/>
          </w:rPr>
          <w:t>приложении N 3</w:t>
        </w:r>
      </w:hyperlink>
      <w:r>
        <w:t xml:space="preserve"> к настоящему Положен</w:t>
      </w:r>
      <w:r>
        <w:t>ию.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7.2. Главный метролог Госкорпорации "Росатом" поручает БОМС рассмотреть компетентность организации в выполнении функций ЭОК. БОМС в течение 10 рабочих дней проводит рассмотрение компетенций организации.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7" w:name="Par191"/>
      <w:bookmarkEnd w:id="7"/>
      <w:r>
        <w:t>7.3. К организации, претендующей на выполнение фу</w:t>
      </w:r>
      <w:r>
        <w:t>нкций ЭОК, предъявляются следующие требования: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Организация должна иметь не менее двух экспертов-метрологов, соответствующих требованиям </w:t>
      </w:r>
      <w:hyperlink w:anchor="Par210" w:tooltip="7.8. Требования к экспертам-метрологам и порядок их аттестации" w:history="1">
        <w:r>
          <w:rPr>
            <w:color w:val="0000FF"/>
          </w:rPr>
          <w:t>п. 7.8</w:t>
        </w:r>
      </w:hyperlink>
      <w:r>
        <w:t xml:space="preserve"> настоящего Положения;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Организация должна иметь документы, регламентирующие деятельность по калибровке в ОИАЭ, которые устанавливают: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порядок подтверждения компетентности в выполнении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порядок проведения инспекционного контроля;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требования к разработке руков</w:t>
      </w:r>
      <w:r>
        <w:t>одства по качеству выполнения калибро</w:t>
      </w:r>
      <w:r>
        <w:lastRenderedPageBreak/>
        <w:t>вочных работ и приложений к нему (сведения о калибруемых объектах и средствах калибровки; сведения о кадровом составе специалистов, выполняющих калибровку; сведения о состоянии производственных помещений, используемых п</w:t>
      </w:r>
      <w:r>
        <w:t>ри калибровке; сведения о документах, регламентирующих калибровочную деятельность; журнал регистрации объектов, принятых на калибровку; форма сертификата калибровки; журнал контроля за качеством выполнения калибровочных работ; журнал учета претензий и рекл</w:t>
      </w:r>
      <w:r>
        <w:t>амаций);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требования к калибровочным лабораториям;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требования к разработке и оформлению методик калибровки;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способы построения калибровочных характеристик;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методы оценивания неопределенности результатов калибровки мер, аттестованных объектов, эталонов, изме</w:t>
      </w:r>
      <w:r>
        <w:t>рительных приборов, измерительных преобразователей, измерительных каналов;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процедуры определения периодичности проведения калибровки;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особенности определения метрологических характеристик средств измерений в рабочих условиях по месту их применения.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8" w:name="Par203"/>
      <w:bookmarkEnd w:id="8"/>
      <w:r>
        <w:t>7.4. Фа</w:t>
      </w:r>
      <w:r>
        <w:t>кт признания организации в качестве ЭОК удостоверяется Извещением о регистрации данной организации в Реестре ЭОК, подписываемым главным метрологом Госкорпорации "Росатом" (</w:t>
      </w:r>
      <w:hyperlink w:anchor="Par512" w:tooltip="Приложение N 4" w:history="1">
        <w:r>
          <w:rPr>
            <w:color w:val="0000FF"/>
          </w:rPr>
          <w:t>приложение N 4</w:t>
        </w:r>
      </w:hyperlink>
      <w:r>
        <w:t xml:space="preserve"> к настоящему Положению). </w:t>
      </w:r>
      <w:r>
        <w:t>На основании Извещения о регистрации организации в качестве ЭОК БОМС включает организацию в Реестр ЭОК.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Продление действия Извещения осуществляется в соответствии с пп. </w:t>
      </w:r>
      <w:hyperlink r:id="rId11" w:anchor="Par189" w:tooltip="7.1. Претендующая на выполнение функций ЭОК организация (из числа организаций, указанных в п. 1.2 настоящего Положения) подает заявку главному метрологу Госкорпорации " w:history="1">
        <w:r>
          <w:rPr>
            <w:color w:val="0000FF"/>
          </w:rPr>
          <w:t>7.1</w:t>
        </w:r>
      </w:hyperlink>
      <w:r>
        <w:t xml:space="preserve"> - </w:t>
      </w:r>
      <w:hyperlink r:id="rId12" w:anchor="Par203" w:tooltip="7.4. Факт признания организации в качестве ЭОК удостоверяется Извещением о регистрации данной организации в Реестре ЭОК, подписываемым главным метрологом Госкорпорации " w:history="1">
        <w:r>
          <w:rPr>
            <w:color w:val="0000FF"/>
          </w:rPr>
          <w:t>7.4</w:t>
        </w:r>
      </w:hyperlink>
      <w:r>
        <w:t xml:space="preserve"> настоящего Положения.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7.5. Метрологическая служба Госкорпорации "Росатом" размещает Реестр ЭОК на сайте (www.rosatom.ru) в информационно-телекоммуникационной сети Интернет.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7.6. Функции</w:t>
      </w:r>
      <w:r>
        <w:t xml:space="preserve"> ЭОК закрепляются за данной организацией на 5 лет при условии участия в работе экспертов-метрологов, фамилии которых приведены в Извещении. Другие специалисты ЭОК могут подключаться к выполнению функций ЭОК только в качестве стажеров.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7.7. Если ЭОК переста</w:t>
      </w:r>
      <w:r>
        <w:t xml:space="preserve">ла соответствовать требованиям, указанным в </w:t>
      </w:r>
      <w:hyperlink w:anchor="Par191" w:tooltip="7.3. К организации, претендующей на выполнение функций ЭОК, предъявляются следующие требования:" w:history="1">
        <w:r>
          <w:rPr>
            <w:color w:val="0000FF"/>
          </w:rPr>
          <w:t>п. 7.3</w:t>
        </w:r>
      </w:hyperlink>
      <w:r>
        <w:t xml:space="preserve"> настоящего Положения, полномочия ЭОК приостанавливаются до устранения несоответс</w:t>
      </w:r>
      <w:r>
        <w:t>твия. БОМС вносит соответствующую информацию в Реестр ЭОК в течение 20 рабочих дней с момента получения подтверждения данного факта несоответствия ЭОК.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После устранения несоответствия ЭОК сообщает об этом главному метрологу Госкорпорации "Росатом". Главный</w:t>
      </w:r>
      <w:r>
        <w:t xml:space="preserve"> метролог Госкорпорации "Росатом" </w:t>
      </w:r>
      <w:r>
        <w:lastRenderedPageBreak/>
        <w:t>принимает решение о возобновлении полномочий ЭОК. БОМС вносит соответствующую информацию о возобновлении полномочий в Реестре ЭОК в течение 20 рабочих дней.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bookmarkStart w:id="9" w:name="Par210"/>
      <w:bookmarkEnd w:id="9"/>
      <w:r>
        <w:rPr>
          <w:b/>
        </w:rPr>
        <w:t>7.8. Требования к экспертам-метрологам и порядок их аттестации</w:t>
      </w:r>
    </w:p>
    <w:p w:rsidR="007B3333" w:rsidRDefault="006F4249">
      <w:pPr>
        <w:pStyle w:val="ConsPlusNormal"/>
        <w:ind w:firstLine="540"/>
        <w:jc w:val="both"/>
      </w:pPr>
      <w:bookmarkStart w:id="10" w:name="Par211"/>
      <w:bookmarkEnd w:id="10"/>
      <w:r>
        <w:t>7</w:t>
      </w:r>
      <w:r>
        <w:t>.8.1. Претендующие на аттестацию в качестве экспертов-метрологов специалисты (далее - кандидаты в эксперты-метрологи) обязаны: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пройти подготовку на курсах повышения квалификации в центре подготовки персонала (</w:t>
      </w:r>
      <w:hyperlink w:anchor="Par177" w:tooltip="6.5. Центры подготовки персонала 2 организуют и проводят обучение и повышение квалификации экспертов-метрологов и специалистов, осуществляющих калибровку в ОИАЭ." w:history="1">
        <w:r>
          <w:rPr>
            <w:color w:val="0000FF"/>
          </w:rPr>
          <w:t>п. 6.5</w:t>
        </w:r>
      </w:hyperlink>
      <w:r>
        <w:t xml:space="preserve"> настоящего Положения) по курсу калибровки в ОИАЭ (для экспертов-метрологов);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разработать проект методики </w:t>
      </w:r>
      <w:r>
        <w:t>калибровки, применяемый в ОИАЭ.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7.8.2. Кандидат в эксперты-метрологи после прохождения подготовки направляет главному метрологу Госкорпорации "Росатом" заявку на аттестацию в качестве эксперта-метролога (далее - заявка) и проект методики калибровки. Главны</w:t>
      </w:r>
      <w:r>
        <w:t>й метролог Госкорпорации "Росатом" направляет заявку и проект методики калибровки в комиссию при Совете по метрологии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7.8.3. Комиссия при Совете по метрологии Госкорпорации "Росатом" рассматривает заявку и проект методики калибровк</w:t>
      </w:r>
      <w:r>
        <w:t xml:space="preserve">и, представленные кандидатом в эксперты-метрологи, проводит тестирование кандидата в эксперты-метрологи </w:t>
      </w:r>
      <w:hyperlink r:id="rId13" w:anchor="Par221" w:tooltip="3 Тест по калибровке в ОИАЭ составляется комиссией, образованной Советом по метрологии Госкорпорации " w:history="1">
        <w:r>
          <w:rPr>
            <w:color w:val="0000FF"/>
            <w:vertAlign w:val="superscript"/>
          </w:rPr>
          <w:t>3</w:t>
        </w:r>
      </w:hyperlink>
      <w:r>
        <w:t>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Комиссия при Совете по метрологии Госкорпорации "Росатом" проводит собеседование с</w:t>
      </w:r>
      <w:r>
        <w:t xml:space="preserve"> кандидатом в эксперты-метрологи по представленному проекту методики калибровки и по результатам теста, формирует рекомендации о возможности аттестации кандидата в эксперты-метрологи в качестве эксперта-метролога по калибровке в ОИАЭ.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11" w:name="Par217"/>
      <w:bookmarkEnd w:id="11"/>
      <w:r>
        <w:t>7.8.4. Решение о выда</w:t>
      </w:r>
      <w:r>
        <w:t>че (отказе в выдаче) аттестата эксперта-метролога по калибровке в ОИАЭ принимается в соответствии с положением о Совете по метрологии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7.8.5. Эксперты-метрологи от организаций должны проходить повышение квалификации не реже одного р</w:t>
      </w:r>
      <w:r>
        <w:t xml:space="preserve">аза в пять лет в центрах подготовки персонала по курсу калибровки в ОИАЭ с последующей повторной аттестацией по пп. </w:t>
      </w:r>
      <w:hyperlink w:anchor="Par211" w:tooltip="7.8.1. Претендующие на аттестацию в качестве экспертов-метрологов специалисты (далее - кандидаты в эксперты-метрологи) обязаны:" w:history="1">
        <w:r>
          <w:rPr>
            <w:color w:val="0000FF"/>
          </w:rPr>
          <w:t>7.8.1</w:t>
        </w:r>
      </w:hyperlink>
      <w:r>
        <w:t xml:space="preserve"> - </w:t>
      </w:r>
      <w:hyperlink r:id="rId14" w:anchor="Par217" w:tooltip="7.8.4. Решение о выдаче (отказе в выдаче) аттестата эксперта-метролога по калибровке в ОИАЭ принимается в соответствии с положением о Совете по метрологии Госкорпорации " w:history="1">
        <w:r>
          <w:rPr>
            <w:color w:val="0000FF"/>
          </w:rPr>
          <w:t>7.8.4</w:t>
        </w:r>
      </w:hyperlink>
      <w:r>
        <w:t xml:space="preserve"> настоящего Полож</w:t>
      </w:r>
      <w:r>
        <w:t>ения.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--------------------------------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12" w:name="Par221"/>
      <w:bookmarkEnd w:id="12"/>
      <w:r>
        <w:rPr>
          <w:vertAlign w:val="superscript"/>
        </w:rPr>
        <w:t>3</w:t>
      </w:r>
      <w:r>
        <w:t xml:space="preserve"> Тест по калибровке в ОИАЭ составляется комиссией, образованной Советом по метрологии Госкорпорации "Росатом". Тест содержит вопросы по документам, регламентирующим деятельность по калибровке в ОИАЭ, указанным в </w:t>
      </w:r>
      <w:hyperlink w:anchor="Par191" w:tooltip="7.3. К организации, претендующей на выполнение функций ЭОК, предъявляются следующие требования:" w:history="1">
        <w:r>
          <w:rPr>
            <w:color w:val="0000FF"/>
          </w:rPr>
          <w:t>п. 7.3</w:t>
        </w:r>
      </w:hyperlink>
      <w:r>
        <w:t xml:space="preserve"> настоящего Положения, и вопросы по обеспечению единства измерений в ОИАЭ.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  <w:outlineLvl w:val="2"/>
      </w:pPr>
      <w:bookmarkStart w:id="13" w:name="Par223"/>
      <w:bookmarkEnd w:id="13"/>
      <w:r>
        <w:rPr>
          <w:b/>
        </w:rPr>
        <w:t>8. Порядок подтверждения компетентности организаций</w:t>
      </w:r>
    </w:p>
    <w:p w:rsidR="007B3333" w:rsidRDefault="006F4249">
      <w:pPr>
        <w:pStyle w:val="ConsPlusNormal"/>
        <w:ind w:firstLine="540"/>
        <w:jc w:val="both"/>
      </w:pPr>
      <w:bookmarkStart w:id="14" w:name="Par224"/>
      <w:bookmarkEnd w:id="14"/>
      <w:r>
        <w:t>8.1. Организации, заинтересованные в подтверждении компетентности в выполнении калибровочных работ в ОИАЭ или в расширении Области признания компетентности в выполнении калибровочных работ, определяют Подтверждающую организацию из числа ЭОК, а также иных о</w:t>
      </w:r>
      <w:r>
        <w:t xml:space="preserve">рганизаций, соответствующих требованиям, указанным в </w:t>
      </w:r>
      <w:hyperlink w:anchor="Par191" w:tooltip="7.3. К организации, претендующей на выполнение функций ЭОК, предъявляются следующие требования:" w:history="1">
        <w:r>
          <w:rPr>
            <w:color w:val="0000FF"/>
          </w:rPr>
          <w:t>п. 7.3</w:t>
        </w:r>
      </w:hyperlink>
      <w:r>
        <w:t xml:space="preserve"> настоящего Положения, в порядке, установленном в организации правилами </w:t>
      </w:r>
      <w:r>
        <w:t>закупки.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8.2. При заключении договора с Подтверждающей организацией организация должна предусматривать в условиях договора обязательность выполнения требований настоящего Положения и регламентирующих документов Госкорпорации "Росатом", устанавливающих треб</w:t>
      </w:r>
      <w:r>
        <w:t>ования к калибровочным лабораториям и требования к методикам калибровки в ОИАЭ.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8.3. После выбора Подтверждающей организации организация подает заявку в Подтверждающую организацию по форме, представленной в </w:t>
      </w:r>
      <w:hyperlink w:anchor="Par554" w:tooltip="Приложение N 5" w:history="1">
        <w:r>
          <w:rPr>
            <w:color w:val="0000FF"/>
          </w:rPr>
          <w:t>приложен</w:t>
        </w:r>
        <w:r>
          <w:rPr>
            <w:color w:val="0000FF"/>
          </w:rPr>
          <w:t>ии N 5</w:t>
        </w:r>
      </w:hyperlink>
      <w:r>
        <w:t xml:space="preserve"> к настоящему Положению.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 заявке прилагаются: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реквизиты юридического лица, контактное лицо;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проект Области признания компетентности в выполнении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протоколы (отчеты) о пробной калибровке из заявленной Области признания компетен</w:t>
      </w:r>
      <w:r>
        <w:t>тности в выполнении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при наличии - копия аттестата аккредитации на поверку/калибровку средств измерений или копия Свидетельства о регистрации в Российской системе калибровки, включая приложения, если Область аккредитации или Область при</w:t>
      </w:r>
      <w:r>
        <w:t>знания компетентности в части выполнения калибровочных работ (в Российской системе калибровки) полностью или частично совпадают с проектом Области признания компетентности в выполнении калибровочных работ в АСК;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Руководство по качеству организации и выполн</w:t>
      </w:r>
      <w:r>
        <w:t xml:space="preserve">ения калибровочных работ со всеми приложениями к нему, содержащими необходимые сведения для подтверждения компетентности </w:t>
      </w:r>
      <w:hyperlink w:anchor="Par241" w:tooltip="4 Руководство по качеству организации и выполнения калибровочных работ может быть представлено в виде проекта, корректировка которого будет осуществлена в процессе работы по оценке компетентности." w:history="1">
        <w:r>
          <w:rPr>
            <w:color w:val="0000FF"/>
            <w:vertAlign w:val="superscript"/>
          </w:rPr>
          <w:t>4</w:t>
        </w:r>
      </w:hyperlink>
      <w:r>
        <w:t>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заполненный опросный лист (содержание и форма опросного листа аналогичны таблице 1 </w:t>
      </w:r>
      <w:hyperlink w:anchor="Par602" w:tooltip="Приложение N 6" w:history="1">
        <w:r>
          <w:rPr>
            <w:color w:val="0000FF"/>
          </w:rPr>
          <w:t>приложения N 6</w:t>
        </w:r>
      </w:hyperlink>
      <w:r>
        <w:t xml:space="preserve"> к настоящему Положен</w:t>
      </w:r>
      <w:r>
        <w:t>ию).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8.4. Если в качестве Подтверждающей организации выбрана ЭОК, она проводит рассмотрение документов и, если документы получены не позднее 31 октября года, предшествующего году проведения работ, направляет главному </w:t>
      </w:r>
      <w:r>
        <w:lastRenderedPageBreak/>
        <w:t>метрологу Госкорпорации "Росатом" копию</w:t>
      </w:r>
      <w:r>
        <w:t xml:space="preserve"> заявки. Заявка включается в годовой план по оценке и подтверждению компетентности в выполнении калибровочных работ.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8.5. Работы по оценке и подтверждению компетентности организации в выполнении калибровочных работ включают проведение экспертизы представле</w:t>
      </w:r>
      <w:r>
        <w:t>нных документов и выездную проверку.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Для указанных работ Подтверждающая организация назначает комиссию по оценке и подтверждению компетентности, включающую экспертов-метрологов.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 предложению главного метролога Госкорпорации "Росатом" в состав комиссии кр</w:t>
      </w:r>
      <w:r>
        <w:t>оме экспертов-метрологов Подтверждающей организации может быть включен специалист метрологической службы Госкорпорации "Росатом", БОМС или ГОМС.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Комиссия проводит оценку компетентности организации, руководствуясь настоящим Положением и регламентирующими до</w:t>
      </w:r>
      <w:r>
        <w:t xml:space="preserve">кументами АСК, устанавливающими требования к калибровочным лабораториям и требования к методикам калибровки </w:t>
      </w:r>
      <w:hyperlink r:id="rId15" w:anchor="Par242" w:tooltip="5 При наличии у Заявителя аттестата аккредитации на поверку/калибровку средств измерений или Свидетельства о регистрации в Российской системе калибровки, при оценке его компетентности в АСК рассматривается только соответствие требованиям в ОИАЭ (приказа Госкорпорации " w:history="1">
        <w:r>
          <w:rPr>
            <w:color w:val="0000FF"/>
            <w:vertAlign w:val="superscript"/>
          </w:rPr>
          <w:t>5</w:t>
        </w:r>
      </w:hyperlink>
      <w:r>
        <w:t>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--------------------------------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15" w:name="Par241"/>
      <w:bookmarkEnd w:id="15"/>
      <w:r>
        <w:rPr>
          <w:vertAlign w:val="superscript"/>
        </w:rPr>
        <w:t>4</w:t>
      </w:r>
      <w:r>
        <w:t xml:space="preserve"> Руководство по качеству организации и выполнения калибровочных работ может быть представлено в виде проекта, корректировка которого будет осуществлена в процессе работы по оценке компетентности.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16" w:name="Par242"/>
      <w:bookmarkEnd w:id="16"/>
      <w:r>
        <w:rPr>
          <w:vertAlign w:val="superscript"/>
        </w:rPr>
        <w:t>5</w:t>
      </w:r>
      <w:r>
        <w:t xml:space="preserve"> При наличии у Заявителя аттестата аккредитации на поверку/</w:t>
      </w:r>
      <w:r>
        <w:t>калибровку средств измерений или Свидетельства о регистрации в Российской системе калибровки, при оценке его компетентности в АСК рассматривается только соответствие требованиям в ОИАЭ (</w:t>
      </w:r>
      <w:hyperlink r:id="rId16" w:history="1">
        <w:r>
          <w:rPr>
            <w:color w:val="0000FF"/>
          </w:rPr>
          <w:t>приказа</w:t>
        </w:r>
      </w:hyperlink>
      <w:r>
        <w:t xml:space="preserve"> Госкорпорации "Росатом" от 31.10.2013 N 1/10-НПА и регламентирующим документам АСК), рассмотрение соответствия компетентности такого Заявителя по уже провере</w:t>
      </w:r>
      <w:r>
        <w:t xml:space="preserve">нным в этих системах аспектам деятельности, в том числе в части </w:t>
      </w:r>
      <w:hyperlink r:id="rId17" w:history="1">
        <w:r>
          <w:rPr>
            <w:color w:val="0000FF"/>
          </w:rPr>
          <w:t>ГОСТ ISO/IEC 17025-2019</w:t>
        </w:r>
      </w:hyperlink>
      <w:r>
        <w:t>, не про</w:t>
      </w:r>
      <w:r>
        <w:t>водится.</w:t>
      </w:r>
    </w:p>
    <w:p w:rsidR="007B3333" w:rsidRDefault="006F4249">
      <w:pPr>
        <w:pStyle w:val="ConsPlusNormal"/>
        <w:jc w:val="both"/>
      </w:pPr>
      <w:r>
        <w:t xml:space="preserve">(в сноске </w:t>
      </w:r>
      <w:r>
        <w:rPr>
          <w:vertAlign w:val="superscript"/>
        </w:rPr>
        <w:t>5</w:t>
      </w:r>
      <w:r>
        <w:t xml:space="preserve"> слова заменены в ред. Приказа Госкорпорации "Росатом" от 16.11.2022 N 1/1521-П)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8.6. Экспертиза документов</w:t>
      </w:r>
    </w:p>
    <w:p w:rsidR="007B3333" w:rsidRDefault="006F4249">
      <w:pPr>
        <w:pStyle w:val="ConsPlusNormal"/>
        <w:ind w:firstLine="540"/>
        <w:jc w:val="both"/>
      </w:pPr>
      <w:r>
        <w:t xml:space="preserve">8.6.1. При проведении экспертизы эксперты-метрологи при необходимости могут запрашивать у Заявителя дополнительные данные для </w:t>
      </w:r>
      <w:r>
        <w:t>подтверждения или уточнения представленных сведений.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8.6.2. По результатам экспертизы документов руководство Подтверждающей организации принимает одно из следующих решений: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а) продолжение работ без замечаний;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lastRenderedPageBreak/>
        <w:t>б) продолжение работ после доработки документов</w:t>
      </w:r>
      <w:r>
        <w:t>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в) прекращение работ.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8.6.3. Подтверждающая организация направляет Заявителю экспертное заключение с решением по экспертизе представленных документов.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8.6.4. В случае необходимости доработки документов Подтверждающая организация устанавливает срок дорабо</w:t>
      </w:r>
      <w:r>
        <w:t>тки документов для повторной их экспертизы.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8.6.5. Решение о прекращении работ принимают при наличии несоответствий, указанных в </w:t>
      </w:r>
      <w:hyperlink w:anchor="Par264" w:tooltip="8.7.5. Заключение о невозможности подтверждения компетентности может быть принято, если по результатам проверки выявлено:" w:history="1">
        <w:r>
          <w:rPr>
            <w:color w:val="0000FF"/>
          </w:rPr>
          <w:t>п. 8.7.5</w:t>
        </w:r>
      </w:hyperlink>
      <w:r>
        <w:t xml:space="preserve"> настоящего Положения.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8.7. Выездная проверка</w:t>
      </w:r>
    </w:p>
    <w:p w:rsidR="007B3333" w:rsidRDefault="006F4249">
      <w:pPr>
        <w:pStyle w:val="ConsPlusNormal"/>
        <w:ind w:firstLine="540"/>
        <w:jc w:val="both"/>
      </w:pPr>
      <w:r>
        <w:t>8.7.1. Выездная проверка Заявителя предусматривает следующие этапы: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разработка и утверждение программы проверки;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проведение проверки, включая выборочную экспериментальную провер</w:t>
      </w:r>
      <w:r>
        <w:t>ку результатов калибровки (проведение калибровки в присутствии комиссии);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оформление результатов проверки, в том числе составление Акта оценки компетентности.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8.7.2. Результаты проверки отражаются в Акте оценки компетентности по форме, представленной в </w:t>
      </w:r>
      <w:hyperlink w:anchor="Par602" w:tooltip="Приложение N 6" w:history="1">
        <w:r>
          <w:rPr>
            <w:color w:val="0000FF"/>
          </w:rPr>
          <w:t>приложении N 6</w:t>
        </w:r>
      </w:hyperlink>
      <w:r>
        <w:t xml:space="preserve"> к настоящему Положению.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8.7.3. В Акте оценки компетентности приводится заключение комиссии о соответствии/ несоответствии компетентности организации в выполнении калибровочных работ требованиям АСК и </w:t>
      </w:r>
      <w:hyperlink r:id="rId18" w:history="1">
        <w:r>
          <w:rPr>
            <w:color w:val="0000FF"/>
          </w:rPr>
          <w:t>ГОСТ ISO/IEC 17025-2019</w:t>
        </w:r>
      </w:hyperlink>
      <w:r>
        <w:t>.</w:t>
      </w:r>
    </w:p>
    <w:p w:rsidR="007B3333" w:rsidRDefault="006F4249">
      <w:pPr>
        <w:pStyle w:val="ConsPlusNormal"/>
        <w:jc w:val="both"/>
      </w:pPr>
      <w:r>
        <w:t>(п. 8.7.3. в ред. Приказа Госкорпорации "Росатом" от 16.11.2022 N 1/15</w:t>
      </w:r>
      <w:r>
        <w:t>21-П)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8.7.4. Акт оценки компетентности оформляется в трех экземплярах: первый экземпляр остается у Заявителя; второй - в Подтверждающей организации, проводившей проверку, третий экземпляр направляется в БОМС.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17" w:name="Par264"/>
      <w:bookmarkEnd w:id="17"/>
      <w:r>
        <w:t>8.7.5. Заключение о невозможности подтверждения</w:t>
      </w:r>
      <w:r>
        <w:t xml:space="preserve"> компетентности может быть принято, если по результатам проверки выявлено: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несоответствие организации требованиям документов АСК;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несоответствие фактического состояния калибровочных работ приведенному в представленных Заявителем документах, в т.ч. </w:t>
      </w:r>
      <w:r>
        <w:t>обнаружение фактов, ставящих под сомнение достоверность результатов калибровки.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8.7.6. Отрицательное или положительное заключения могут быть приняты </w:t>
      </w:r>
      <w:r>
        <w:lastRenderedPageBreak/>
        <w:t>по всей или части заявляемой Области признания компетентности в выполнении калибровочных работ.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8.7.7. Подт</w:t>
      </w:r>
      <w:r>
        <w:t>верждающая организация устанавливает также срок первого планового инспекционного контроля, который фиксируется в Акте оценки компетентности.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8.8. Признание компетентности</w:t>
      </w:r>
    </w:p>
    <w:p w:rsidR="007B3333" w:rsidRDefault="006F4249">
      <w:pPr>
        <w:pStyle w:val="ConsPlusNormal"/>
        <w:ind w:firstLine="540"/>
        <w:jc w:val="both"/>
      </w:pPr>
      <w:r>
        <w:t>8.8.1. Подтверждающая организация направляет в БОМС Акт оценки компетентности, проек</w:t>
      </w:r>
      <w:r>
        <w:t>ты (в формате MS Word) Свидетельства о признании компетентности и Области признании компетентности. БОМС в течение 5 рабочих дней рассматривает указанные документы и представляет их главному метрологу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8.8.2. Свидетельство о признан</w:t>
      </w:r>
      <w:r>
        <w:t>ии компетентности в АСК и Область признания компетентности в выполнении калибровочных работ подписываются главным метрологом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18" w:name="Par273"/>
      <w:bookmarkEnd w:id="18"/>
      <w:r>
        <w:t>8.8.3. На основании Свидетельства о признании компетентности в АСК БОМС регистрирует организацию в АСК и н</w:t>
      </w:r>
      <w:r>
        <w:t>аправляет в ее адрес подписанные Свидетельство о признании компетентности (содержащее шифр калибровочного клейма) и Область признания компетентности в выполнении калибровочных работ.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Копии документов направляются в Подтверждающую организацию.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8.8.4. Копии </w:t>
      </w:r>
      <w:r>
        <w:t>Свидетельства о признании компетентности в АСК, Области признания компетентности в выполнении калибровочных работ, Акта оценки компетентности хранятся в Подтверждающей организации и БОМС.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8.8.5. При несогласии с заключением Подтверждающей организации Заяви</w:t>
      </w:r>
      <w:r>
        <w:t>тель вправе обратиться по спорным вопросам в метрологическую службу Госкорпорации "Росатом". Решение по спорным вопросам принимает главный метролог Госкорпорации "Росатом".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8.9. Внесение изменений в Реестр АСК</w:t>
      </w:r>
    </w:p>
    <w:p w:rsidR="007B3333" w:rsidRDefault="006F4249">
      <w:pPr>
        <w:pStyle w:val="ConsPlusNormal"/>
        <w:ind w:firstLine="540"/>
        <w:jc w:val="both"/>
      </w:pPr>
      <w:r>
        <w:t>8.9.1. Внесение изменений в Реестр АСК осущес</w:t>
      </w:r>
      <w:r>
        <w:t>твляется в случаях: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изменения (расширения или сокращения) Области признания компетентности в выполнении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реорганизации юридического лица в форме преобразования, слияния, присоединения или в иных формах;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изменения наименования организаци</w:t>
      </w:r>
      <w:r>
        <w:t>и, ее юридического адреса или места ее нахождения, адреса места осуществления калибровочной деятельности;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приостановления и возобновления действия Свидетельства о признании </w:t>
      </w:r>
      <w:r>
        <w:lastRenderedPageBreak/>
        <w:t>компетентности;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прекращения действия (аннулирования) Свидетельства о признании комп</w:t>
      </w:r>
      <w:r>
        <w:t>етентности.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8.9.2. Внесение изменений в Реестр АСК в случае изменения (расширения или сокращения) Области признания компетентности в выполнении калибровочных работ осуществляется по результатам признания компетентности по </w:t>
      </w:r>
      <w:hyperlink w:anchor="Par273" w:tooltip="8.8.3. На основании Свидетельства о признании компетентности в АСК БОМС регистрирует организацию в АСК и направляет в ее адрес подписанные Свидетельство о признании компетентности (содержащее шифр калибровочного клейма) и Область признания компетентности в выполнении калибровочных работ." w:history="1">
        <w:r>
          <w:rPr>
            <w:color w:val="0000FF"/>
          </w:rPr>
          <w:t>п. 8.8.3</w:t>
        </w:r>
      </w:hyperlink>
      <w:r>
        <w:t xml:space="preserve"> настоящего Положения и инспекционного контроля по </w:t>
      </w:r>
      <w:hyperlink r:id="rId19" w:anchor="Par332" w:tooltip="9.18. На основании решения главного метролога Госкорпорации " w:history="1">
        <w:r>
          <w:rPr>
            <w:color w:val="0000FF"/>
          </w:rPr>
          <w:t>п. 9.18</w:t>
        </w:r>
      </w:hyperlink>
      <w:r>
        <w:t xml:space="preserve"> настоящего Положения.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8.9.3. Внесение изменений в Реестр АСК в случае реорганизации, изменения наименования или адреса организации осуществляется по заявке организации, </w:t>
      </w:r>
      <w:r>
        <w:t>содержащей описание изменений, направляемой в БОМС.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8.9.4. Внесение изменений в Реестр АСК в случае приостановления действия Свидетельства о признании компетентности с указанием срока приостановления действия или прекращения действия (аннулирования) Свидет</w:t>
      </w:r>
      <w:r>
        <w:t>ельства о признании компетентности осуществляется по решению главного метролога Госкорпорации "Росатом" по представлению Подтверждающей организации при обнаружении несоответствий требованиям регламентирующих документов, устанавливающих требования к калибро</w:t>
      </w:r>
      <w:r>
        <w:t>вочным лабораториям и требования к методикам калибровки.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Решение о возобновлении действия Свидетельства о признании компетентности принимает главный метролог Госкорпорации "Росатом" по представлению Подтверждающей организации после устранения несоответстви</w:t>
      </w:r>
      <w:r>
        <w:t>й с последующим внесением изменений в Реестр АСК.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8.9.5. Внесение изменений в Реестр АСК в случае прекращения действия (аннулирования) Свидетельства о признании компетентности осуществляется по </w:t>
      </w:r>
      <w:hyperlink r:id="rId20" w:anchor="Par299" w:tooltip="8.10.3. Подписанное главным метрологом Госкорпорации " w:history="1">
        <w:r>
          <w:rPr>
            <w:color w:val="0000FF"/>
          </w:rPr>
          <w:t>п. 8.10.3</w:t>
        </w:r>
      </w:hyperlink>
      <w:r>
        <w:t xml:space="preserve"> настоящего Положения.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8.10. Прекращение действия (аннулирование) Свидетельства о признании компетентности</w:t>
      </w:r>
    </w:p>
    <w:p w:rsidR="007B3333" w:rsidRDefault="006F4249">
      <w:pPr>
        <w:pStyle w:val="ConsPlusNormal"/>
        <w:ind w:firstLine="540"/>
        <w:jc w:val="both"/>
      </w:pPr>
      <w:r>
        <w:t>8.10.1. Прекращение действия (аннулирование) Свидетельства о признании компетентности может быть вызвано: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ликвидацией </w:t>
      </w:r>
      <w:r>
        <w:t>организации, зарегистрированной в АСК;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прекращением калибровочной деятельности организацией, зарегистрированной в АСК;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выявленными грубыми, неустранимыми нарушениями требований, предъявляемых к калибровочным лабораториям, а также невыполнением обязательств</w:t>
      </w:r>
      <w:r>
        <w:t>, взятых на себя организацией, зарегистрированной в АСК;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lastRenderedPageBreak/>
        <w:t>письменным заявлением организации, зарегистрированной в АСК (ее правопреемника - в случае реорганизации) о прекращении действия Свидетельства о признании компетентности;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отказом организации от прохож</w:t>
      </w:r>
      <w:r>
        <w:t>дения инспекционного контроля.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8.10.2. Предложения об аннулировании Свидетельства о признании компетентности с указанием обоснований направляется Подтверждающей организацией главному метрологу Госкорпорации "Росатом" для принятия решения. На основании прин</w:t>
      </w:r>
      <w:r>
        <w:t>ятого решения БОМС подготавливает Извещение об аннулировании Свидетельства о признании компетентности (</w:t>
      </w:r>
      <w:hyperlink w:anchor="Par862" w:tooltip="Приложение N 7" w:history="1">
        <w:r>
          <w:rPr>
            <w:color w:val="0000FF"/>
          </w:rPr>
          <w:t>приложение N 7</w:t>
        </w:r>
      </w:hyperlink>
      <w:r>
        <w:t xml:space="preserve"> к настоящему Положению).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19" w:name="Par299"/>
      <w:bookmarkEnd w:id="19"/>
      <w:r>
        <w:t>8.10.3. Подписанное главным метрологом Госкорпорации "Росатом" Извеще</w:t>
      </w:r>
      <w:r>
        <w:t>ние об аннулировании Свидетельства о признании компетентности направляется в БОМС для завершения процедуры аннулирования Свидетельства о признании компетентности и направления Извещения в организацию и внесения изменений в Реестр АСК.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8.10.4. Руководство о</w:t>
      </w:r>
      <w:r>
        <w:t>рганизации, действие Свидетельства о признании компетентности которой прекращено (аннулировано), несет ответственность за использование в дальнейшем шифра калибровочного клейма.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  <w:outlineLvl w:val="2"/>
      </w:pPr>
      <w:r>
        <w:rPr>
          <w:b/>
        </w:rPr>
        <w:t>9. Порядок проведения инспекционного контроля</w:t>
      </w:r>
    </w:p>
    <w:p w:rsidR="007B3333" w:rsidRDefault="006F4249">
      <w:pPr>
        <w:pStyle w:val="ConsPlusNormal"/>
        <w:ind w:firstLine="540"/>
        <w:jc w:val="both"/>
      </w:pPr>
      <w:r>
        <w:t xml:space="preserve">9.1. Инспекционный контроль за </w:t>
      </w:r>
      <w:r>
        <w:t>деятельностью организаций проводят для проверки их компетентности в выполнении калибровочных работ, а также для проверки устранения недостатков, выявленных при подтверждении компетентности или в ходе предыдущего, в том числе внепланового инспекционного кон</w:t>
      </w:r>
      <w:r>
        <w:t>троля.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9.2. Инспекционный контроль подразделяется на плановый (периодический) и внеплановый (внеочередной).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9.3. Плановый инспекционный контроль за деятельностью калибровочных лабораторий осуществляют Подтверждающие организации, которые определяются в поря</w:t>
      </w:r>
      <w:r>
        <w:t xml:space="preserve">дке, установленном </w:t>
      </w:r>
      <w:hyperlink w:anchor="Par224" w:tooltip="8.1. Организации, заинтересованные в подтверждении компетентности в выполнении калибровочных работ в ОИАЭ или в расширении Области признания компетентности в выполнении калибровочных работ, определяют Подтверждающую организацию из числа ЭОК, а также иных организаций, соответствующих требованиям, указанным в п. 7.3 настоящего Положения, в порядке, установленном в организации правилами закупки." w:history="1">
        <w:r>
          <w:rPr>
            <w:color w:val="0000FF"/>
          </w:rPr>
          <w:t>п. 8.1</w:t>
        </w:r>
      </w:hyperlink>
      <w:r>
        <w:t xml:space="preserve"> настоящего Положения.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9.4. Срок проведения первого планового </w:t>
      </w:r>
      <w:r>
        <w:t>инспекционного контроля устанавливается Подтверждающей организацией при оформлении Акта оценки компетентности.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9.5. Рекомендуемая периодичность проведения планового инспекционного контроля - 2,5 года.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9.6. Проведение инспекционного контроля может быть совм</w:t>
      </w:r>
      <w:r>
        <w:t>ещено с внесением изменений (расширением или сокращением) в Область признания компетентности в выполнении калибровочных работ.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lastRenderedPageBreak/>
        <w:t>9.7. Отказ организации от проведения инспекционного контроля является основанием для аннулирования Свидетельства о признании комп</w:t>
      </w:r>
      <w:r>
        <w:t>етентности.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9.8. БОМС не позднее чем за три месяца до наступления планового срока проведения инспекционного контроля, указанного в Акте оценки компетентности или в предыдущем Акте инспекционного контроля, направляет в организацию, зарегистрированную в АСК,</w:t>
      </w:r>
      <w:r>
        <w:t xml:space="preserve"> Уведомление о проведении инспекционного контроля по форме </w:t>
      </w:r>
      <w:hyperlink w:anchor="Par904" w:tooltip="Приложение N 8" w:history="1">
        <w:r>
          <w:rPr>
            <w:color w:val="0000FF"/>
          </w:rPr>
          <w:t>приложения N 8</w:t>
        </w:r>
      </w:hyperlink>
      <w:r>
        <w:t xml:space="preserve"> к настоящему Положению.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9.9. Организация, получив Уведомление, готовит информационную справку-отчет о калибровочных работах, выполненных з</w:t>
      </w:r>
      <w:r>
        <w:t>а период между предыдущей и предстоящей проверками (</w:t>
      </w:r>
      <w:hyperlink w:anchor="Par938" w:tooltip="Приложение N 9" w:history="1">
        <w:r>
          <w:rPr>
            <w:color w:val="0000FF"/>
          </w:rPr>
          <w:t>приложение N 9</w:t>
        </w:r>
      </w:hyperlink>
      <w:r>
        <w:t xml:space="preserve"> к настоящему Положению), и заполненный опросный лист (содержание и форма опросного листа аналогичны таблице 1 </w:t>
      </w:r>
      <w:hyperlink w:anchor="Par602" w:tooltip="Приложение N 6" w:history="1">
        <w:r>
          <w:rPr>
            <w:color w:val="0000FF"/>
          </w:rPr>
          <w:t>приложения N 6</w:t>
        </w:r>
      </w:hyperlink>
      <w:r>
        <w:t xml:space="preserve"> к настоящему Положению). При инспекционном контроле в опросном листе отражаются также изменения в калибровочной деятельности, произошедшие за период между предыдущей и предстоящей проверками.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9.10. Содержание и порядок проведения ра</w:t>
      </w:r>
      <w:r>
        <w:t xml:space="preserve">бот по инспекционному контролю аналогичны содержанию и порядку проведения работ по подтверждению компетентности, описанным в </w:t>
      </w:r>
      <w:hyperlink w:anchor="Par223" w:tooltip="8. Порядок подтверждения компетентности организаций" w:history="1">
        <w:r>
          <w:rPr>
            <w:color w:val="0000FF"/>
          </w:rPr>
          <w:t>разделе 8</w:t>
        </w:r>
      </w:hyperlink>
      <w:r>
        <w:t xml:space="preserve"> настоящего Положения.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Конкретное содержа</w:t>
      </w:r>
      <w:r>
        <w:t>ние проверки в рамках инспекционного контроля определяется программой проведения инспекционного контроля.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20" w:name="Par314"/>
      <w:bookmarkEnd w:id="20"/>
      <w:r>
        <w:t>9.11. Выявленные несоответствия и нарушения должны быть приведены в Акте инспекционного контроля с указанием конкретных фактов (недостатков).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Рекоменд</w:t>
      </w:r>
      <w:r>
        <w:t xml:space="preserve">уемая форма Акта инспекционного контроля приведена в </w:t>
      </w:r>
      <w:hyperlink w:anchor="Par977" w:tooltip="Приложение N 10" w:history="1">
        <w:r>
          <w:rPr>
            <w:color w:val="0000FF"/>
          </w:rPr>
          <w:t>приложении N 10</w:t>
        </w:r>
      </w:hyperlink>
      <w:r>
        <w:t xml:space="preserve"> к настоящему Положению.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9.12. В Акте инспекционного контроля должны быть приведены: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оценка выполнения плана мероприятий по устранению </w:t>
      </w:r>
      <w:r>
        <w:t>недостатков, выявленных при предыдущем инспекционном контроле (при наличии);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конкретные и однозначные заключения по всем пунктам программы инспекционного контроля с указанием всех выявленных недостатков и несоответствий;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оценка деятельности по предъявленно</w:t>
      </w:r>
      <w:r>
        <w:t>й информационной справке-отчету о калибровочных работах и в соответствии с Руководством по качеству;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рекомендации комиссии по устранению выявленных недостатков с указанием сроков устранения (при необходимости);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окончательные (итоговые) выводы по результата</w:t>
      </w:r>
      <w:r>
        <w:t>м инспекционного контроля.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lastRenderedPageBreak/>
        <w:t>9.13. План мероприятий по устранению выявленных недостатков организация представляет в Подтверждающую организацию в срок, установленный в Акте инспекционного контроля.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9.14. Акт инспекционного контроля оформляют в трех </w:t>
      </w:r>
      <w:r>
        <w:t>экземплярах, подписывают все члены комиссии и руководство проверяемой организации.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9.15. Один экземпляр Акта инспекционного контроля остается в организации, второй передается руководству Подтверждающей организации, третий направляется в БОМС.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9.16. По резу</w:t>
      </w:r>
      <w:r>
        <w:t>льтатам инспекционного контроля могут быть вынесены следующие рекомендации: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подтвердить компетентность в выполнении калибровочных работ (в случае полного соответствия состояния калибровочных работ выданному Свидетельству);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приостановить действие Свидетельс</w:t>
      </w:r>
      <w:r>
        <w:t>тва о признании компетентности (при наличии недостатков и несоответствий, которые могут быть устранены калибровочной лабораторией с указанием сроков и способов их выполнения);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сократить Область признания компетентности в выполнении калибровочных работ (в с</w:t>
      </w:r>
      <w:r>
        <w:t>лучае невыполнения или частичного выполнения корректирующих мероприятий или изменений, произошедших в деятельности калибровочной лаборатории);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расширить Область признания компетентности в выполнении калибровочных работ (в случае подтверждения новых компете</w:t>
      </w:r>
      <w:r>
        <w:t>нций по калибровке средств измерений, отсутствовавших в Области признания компетентности в выполнении калибровочных работ);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аннулировать Свидетельство о признании компетентности (в случае выявления грубых нарушений, вызывающих недоверие к результатам калиб</w:t>
      </w:r>
      <w:r>
        <w:t>ровки).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9.17. Решение по результатам инспекционного контроля принимает главный метролог Госкорпорации "Росатом". О своем решении главный метролог Госкорпорации "Росатом" уведомляет БОМС в письменном виде.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21" w:name="Par332"/>
      <w:bookmarkEnd w:id="21"/>
      <w:r>
        <w:t>9.18. На основании решения главного метролога Госко</w:t>
      </w:r>
      <w:r>
        <w:t>рпорации "Росатом" БОМС вносит изменения в Реестр АСК. БОМС уведомляет о принятом решении и внесенных изменениях в Реестр АСК организацию и Подтверждающую организацию.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9.19. Внеплановый инспекционный контроль</w:t>
      </w:r>
    </w:p>
    <w:p w:rsidR="007B3333" w:rsidRDefault="006F4249">
      <w:pPr>
        <w:pStyle w:val="ConsPlusNormal"/>
        <w:ind w:firstLine="540"/>
        <w:jc w:val="both"/>
      </w:pPr>
      <w:r>
        <w:t>9.19.1. Внеплановый инспекционный контроль про</w:t>
      </w:r>
      <w:r>
        <w:t xml:space="preserve">водится при поступлении в Госкорпорацию "Росатом", БОМС или Подтверждающую организацию </w:t>
      </w:r>
      <w:r>
        <w:lastRenderedPageBreak/>
        <w:t>информации о нарушениях организацией, зарегистрированной в АСК, требований к выполнению калибровочных работ или о претензиях заказчиков к качеству этих работ.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Информацию</w:t>
      </w:r>
      <w:r>
        <w:t xml:space="preserve"> о нарушениях БОМС или Подтверждающая организация направляют главному метрологу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9.19.2. Главный метролог Госкорпорации "Росатом" организует рассмотрение нарушений и претензий с участием комиссии при Совете по метрологии Госкорпорац</w:t>
      </w:r>
      <w:r>
        <w:t>ии "Росатом" и БОМС, затем принимает решение о необходимости проведения внепланового инспекционного контроля.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9.19.3. Выбор Подтверждающей организации при проведении внепланового инспекционного контроля осуществляет Госкорпорация "Росатом" в соответствии с</w:t>
      </w:r>
      <w:r>
        <w:t xml:space="preserve"> установленными правилами закупки.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9.19.4. Подтверждающая организация направляет в организацию уведомление о проведении внепланового инспекционного контроля не позднее чем за три недели до начала его проведения, в срок не более недели с момента принятия ре</w:t>
      </w:r>
      <w:r>
        <w:t>шения о его проведении с указанием причин проведения.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9.19.5. Программа и состав комиссии при осуществлении внепланового инспекционного контроля определяются Подтверждающей организацией при согласовании с главным метрологом Госкорпорации "Росатом" в зависи</w:t>
      </w:r>
      <w:r>
        <w:t>мости от причины, вызвавшей необходимость проведения внепланового инспекционного контроля.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9.19.6. Содержание процедур и дальнейший порядок проведения внепланового инспекционного контроля аналогичны пп. </w:t>
      </w:r>
      <w:hyperlink w:anchor="Par314" w:tooltip="9.11. Выявленные несоответствия и нарушения должны быть приведены в Акте инспекционного контроля с указанием конкретных фактов (недостатков)." w:history="1">
        <w:r>
          <w:rPr>
            <w:color w:val="0000FF"/>
          </w:rPr>
          <w:t>9.11</w:t>
        </w:r>
      </w:hyperlink>
      <w:r>
        <w:t xml:space="preserve"> - </w:t>
      </w:r>
      <w:hyperlink r:id="rId21" w:anchor="Par332" w:tooltip="9.18. На основании решения главного метролога Госкорпорации " w:history="1">
        <w:r>
          <w:rPr>
            <w:color w:val="0000FF"/>
          </w:rPr>
          <w:t>9.18</w:t>
        </w:r>
      </w:hyperlink>
      <w:r>
        <w:t xml:space="preserve"> настоящего Положения.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  <w:outlineLvl w:val="2"/>
      </w:pPr>
      <w:r>
        <w:rPr>
          <w:b/>
        </w:rPr>
        <w:t>10. Нормативные ссылки</w:t>
      </w:r>
    </w:p>
    <w:p w:rsidR="007B3333" w:rsidRDefault="006F4249">
      <w:pPr>
        <w:pStyle w:val="ConsPlusNormal"/>
        <w:ind w:firstLine="540"/>
        <w:jc w:val="both"/>
      </w:pPr>
      <w:r>
        <w:t xml:space="preserve">В настоящем Положении использованы ссылки на следующие нормативные правовые акты и </w:t>
      </w:r>
      <w:r>
        <w:t>документы:</w:t>
      </w:r>
    </w:p>
    <w:p w:rsidR="007B3333" w:rsidRDefault="006F4249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Госкорпорации "Росатом" от 31.10.2013 N 1/10-НПА "Об утверждении метрологичес</w:t>
      </w:r>
      <w:r>
        <w:t>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энергии" (зарегистрирован в Минюсте Р</w:t>
      </w:r>
      <w:r>
        <w:t>оссии 27.02.2014, регистрационный N 31442);</w:t>
      </w:r>
    </w:p>
    <w:p w:rsidR="007B3333" w:rsidRDefault="006F4249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Госкорпорации "Росатом" от 15.11.2013 N 1/13</w:t>
      </w:r>
      <w:r>
        <w:t>-НПА "Об утверждении Положения о порядке отнесения технических средств, применяемых в области использования атомной энергии, к средствам измерений" (зарегистрирован в Минюсте России 21.04.2014, регистрационный N 32046);</w:t>
      </w:r>
    </w:p>
    <w:p w:rsidR="007B3333" w:rsidRDefault="006F4249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ГОСТ ISO/IEC 17025-2019</w:t>
        </w:r>
      </w:hyperlink>
      <w:r>
        <w:t xml:space="preserve"> "Общие требования к компетентности испытательных и калибровочных лабораторий".</w:t>
      </w:r>
    </w:p>
    <w:p w:rsidR="007B3333" w:rsidRDefault="006F4249">
      <w:pPr>
        <w:pStyle w:val="ConsPlusNormal"/>
        <w:jc w:val="both"/>
      </w:pPr>
      <w:r>
        <w:t>(п. 10. слова заменены в ред</w:t>
      </w:r>
      <w:r>
        <w:t>. Приказа Госкорпорации "Росатом" от 16.11.2022 N 1/1521-П)</w:t>
      </w: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right"/>
        <w:outlineLvl w:val="2"/>
      </w:pPr>
      <w:bookmarkStart w:id="22" w:name="Par352"/>
      <w:bookmarkEnd w:id="22"/>
      <w:r>
        <w:t>Приложение N 1</w:t>
      </w:r>
    </w:p>
    <w:p w:rsidR="007B3333" w:rsidRDefault="006F4249">
      <w:pPr>
        <w:pStyle w:val="ConsPlusNormal"/>
        <w:jc w:val="right"/>
      </w:pPr>
      <w:r>
        <w:t>к Положению</w:t>
      </w:r>
    </w:p>
    <w:p w:rsidR="007B3333" w:rsidRDefault="006F4249">
      <w:pPr>
        <w:pStyle w:val="ConsPlusNormal"/>
        <w:jc w:val="right"/>
      </w:pPr>
      <w:r>
        <w:t>(обязательное)</w:t>
      </w:r>
    </w:p>
    <w:p w:rsidR="007B3333" w:rsidRDefault="006F4249">
      <w:pPr>
        <w:pStyle w:val="ConsPlusNormal"/>
        <w:jc w:val="right"/>
      </w:pPr>
      <w:r>
        <w:t>(Приложение N 1 слова заменены в ред. Приказа Госкорпорации "Росатом" от 16.11.2022 N 1/1521-П)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Форма Свидетельства о признании компетентности в АСК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051560" cy="11087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5"/>
                    <a:srcRect/>
                    <a:stretch/>
                  </pic:blipFill>
                  <pic:spPr>
                    <a:xfrm>
                      <a:off x="0" y="0"/>
                      <a:ext cx="10515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СИСТЕМА КАЛИБРОВКИ В ОБЛАСТИ ИСПОЛЬЗОВАНИЯ АТОМНОЙ ЭНЕРГИИ (АСК)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СВИДЕТЕЛЬСТВО</w:t>
      </w:r>
    </w:p>
    <w:p w:rsidR="007B3333" w:rsidRDefault="006F4249">
      <w:pPr>
        <w:pStyle w:val="ConsPlusNormal"/>
        <w:jc w:val="center"/>
      </w:pPr>
      <w:r>
        <w:rPr>
          <w:b/>
        </w:rPr>
        <w:t>О ПРИЗНАНИИ КОМПЕТЕНТНОСТИ В АСК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44"/>
      </w:tblGrid>
      <w:tr w:rsidR="007B3333">
        <w:tc>
          <w:tcPr>
            <w:tcW w:w="3969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5044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Реестр N _______</w:t>
            </w:r>
          </w:p>
          <w:p w:rsidR="007B3333" w:rsidRDefault="006F4249">
            <w:pPr>
              <w:pStyle w:val="ConsPlusNormal"/>
              <w:jc w:val="both"/>
            </w:pPr>
            <w:r>
              <w:t>Внесено "___" ___________ 20__ г.</w:t>
            </w:r>
          </w:p>
          <w:p w:rsidR="007B3333" w:rsidRDefault="006F4249">
            <w:pPr>
              <w:pStyle w:val="ConsPlusNormal"/>
              <w:jc w:val="both"/>
            </w:pPr>
            <w:r>
              <w:t>Действительно до "___" _________ 20__ г.</w:t>
            </w:r>
          </w:p>
          <w:p w:rsidR="007B3333" w:rsidRDefault="006F4249">
            <w:pPr>
              <w:pStyle w:val="ConsPlusNormal"/>
              <w:jc w:val="both"/>
            </w:pPr>
            <w:r>
              <w:t>Шифр калибровочного клейма ______</w:t>
            </w:r>
          </w:p>
          <w:p w:rsidR="007B3333" w:rsidRDefault="007B3333">
            <w:pPr>
              <w:pStyle w:val="ConsPlusNormal"/>
            </w:pP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Настоящее Свидетельство удостоверяет, что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t>__________________________________________________</w:t>
      </w:r>
    </w:p>
    <w:p w:rsidR="007B3333" w:rsidRDefault="006F4249">
      <w:pPr>
        <w:pStyle w:val="ConsPlusNormal"/>
        <w:jc w:val="center"/>
      </w:pPr>
      <w:r>
        <w:t>наименование организации</w:t>
      </w:r>
    </w:p>
    <w:p w:rsidR="007B3333" w:rsidRDefault="006F4249">
      <w:pPr>
        <w:pStyle w:val="ConsPlusNormal"/>
        <w:ind w:firstLine="540"/>
        <w:jc w:val="both"/>
      </w:pPr>
      <w:r>
        <w:t xml:space="preserve">соответствует требованиям системы калибровки в области использования атомной энергии (АСК) и требованиям </w:t>
      </w:r>
      <w:hyperlink r:id="rId26" w:history="1">
        <w:r>
          <w:rPr>
            <w:color w:val="0000FF"/>
          </w:rPr>
          <w:t>ГОСТ ISO/IEC 17025-2019</w:t>
        </w:r>
      </w:hyperlink>
      <w:r>
        <w:t xml:space="preserve"> "Общие требования к компетентности испытательных и калибровочных лабораторий" и внесено в Реестр АСК.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Область признания компетентности в выполнении калибровочных работ представлена в приложении, являющемся неотъемлемой частью настоящего Свидетельства.</w:t>
      </w: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948"/>
        <w:gridCol w:w="3118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Главный метролог</w:t>
            </w:r>
          </w:p>
          <w:p w:rsidR="007B3333" w:rsidRDefault="006F4249">
            <w:pPr>
              <w:pStyle w:val="ConsPlusNormal"/>
            </w:pPr>
            <w:r>
              <w:t>Госкорпорации "Росатом"</w:t>
            </w:r>
          </w:p>
        </w:tc>
        <w:tc>
          <w:tcPr>
            <w:tcW w:w="294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____________________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______________________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2948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М.П.</w:t>
            </w:r>
          </w:p>
        </w:tc>
        <w:tc>
          <w:tcPr>
            <w:tcW w:w="294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right"/>
        <w:outlineLvl w:val="2"/>
      </w:pPr>
      <w:bookmarkStart w:id="23" w:name="Par398"/>
      <w:bookmarkEnd w:id="23"/>
    </w:p>
    <w:p w:rsidR="007B3333" w:rsidRDefault="006F4249">
      <w:pPr>
        <w:pStyle w:val="ConsPlusNormal"/>
        <w:jc w:val="right"/>
        <w:outlineLvl w:val="2"/>
      </w:pPr>
      <w:r>
        <w:t>Приложение N 2</w:t>
      </w:r>
    </w:p>
    <w:p w:rsidR="007B3333" w:rsidRDefault="006F4249">
      <w:pPr>
        <w:pStyle w:val="ConsPlusNormal"/>
        <w:jc w:val="right"/>
      </w:pPr>
      <w:r>
        <w:t>к Положению</w:t>
      </w:r>
    </w:p>
    <w:p w:rsidR="007B3333" w:rsidRDefault="006F4249">
      <w:pPr>
        <w:pStyle w:val="ConsPlusNormal"/>
        <w:jc w:val="right"/>
      </w:pPr>
      <w:r>
        <w:t>(обязательное)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Форма Области признания компетентности в</w:t>
      </w:r>
    </w:p>
    <w:p w:rsidR="007B3333" w:rsidRDefault="006F4249">
      <w:pPr>
        <w:pStyle w:val="ConsPlusNormal"/>
        <w:jc w:val="center"/>
      </w:pPr>
      <w:r>
        <w:rPr>
          <w:b/>
        </w:rPr>
        <w:t>выполнении калибровочных работ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B3333">
        <w:tc>
          <w:tcPr>
            <w:tcW w:w="4535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1560" cy="110871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51560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Приложение к Свидетельству</w:t>
            </w:r>
          </w:p>
          <w:p w:rsidR="007B3333" w:rsidRDefault="006F4249">
            <w:pPr>
              <w:pStyle w:val="ConsPlusNormal"/>
            </w:pPr>
            <w:r>
              <w:t>о признании компетентности в АСК</w:t>
            </w:r>
          </w:p>
          <w:p w:rsidR="007B3333" w:rsidRDefault="006F4249">
            <w:pPr>
              <w:pStyle w:val="ConsPlusNormal"/>
            </w:pPr>
            <w:r>
              <w:t>N________________</w:t>
            </w:r>
          </w:p>
          <w:p w:rsidR="007B3333" w:rsidRDefault="006F4249">
            <w:pPr>
              <w:pStyle w:val="ConsPlusNormal"/>
            </w:pPr>
            <w:r>
              <w:t>от "___" __________20___ г.</w:t>
            </w:r>
          </w:p>
          <w:p w:rsidR="007B3333" w:rsidRDefault="007B3333">
            <w:pPr>
              <w:pStyle w:val="ConsPlusNormal"/>
            </w:pPr>
          </w:p>
        </w:tc>
      </w:tr>
    </w:tbl>
    <w:p w:rsidR="007B3333" w:rsidRDefault="007B3333">
      <w:pPr>
        <w:pStyle w:val="ConsPlusNormal"/>
        <w:jc w:val="center"/>
      </w:pPr>
    </w:p>
    <w:p w:rsidR="007B3333" w:rsidRDefault="006F4249">
      <w:pPr>
        <w:pStyle w:val="ConsPlusNormal"/>
        <w:jc w:val="center"/>
      </w:pPr>
      <w:r>
        <w:t>ОБЛАСТЬ ПРИЗНАНИЯ</w:t>
      </w:r>
    </w:p>
    <w:p w:rsidR="007B3333" w:rsidRDefault="006F4249">
      <w:pPr>
        <w:pStyle w:val="ConsPlusNormal"/>
        <w:jc w:val="center"/>
      </w:pPr>
      <w:r>
        <w:t>КОМПЕТЕНТНОСТИ В ВЫПОЛНЕНИИ</w:t>
      </w:r>
    </w:p>
    <w:p w:rsidR="007B3333" w:rsidRDefault="006F4249">
      <w:pPr>
        <w:pStyle w:val="ConsPlusNormal"/>
        <w:jc w:val="center"/>
      </w:pPr>
      <w:r>
        <w:t>КАЛИБРОВОЧНЫХ РАБОТ</w:t>
      </w:r>
    </w:p>
    <w:p w:rsidR="007B3333" w:rsidRDefault="006F4249">
      <w:pPr>
        <w:pStyle w:val="ConsPlusNormal"/>
        <w:jc w:val="center"/>
      </w:pPr>
      <w:r>
        <w:rPr>
          <w:vertAlign w:val="superscript"/>
        </w:rPr>
        <w:t>________________________________________________________________________________________________________</w:t>
      </w:r>
    </w:p>
    <w:p w:rsidR="007B3333" w:rsidRDefault="006F4249">
      <w:pPr>
        <w:pStyle w:val="ConsPlusNormal"/>
        <w:jc w:val="center"/>
      </w:pPr>
      <w:r>
        <w:t>наименование и адрес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vertAlign w:val="superscript"/>
        </w:rPr>
        <w:t>_________________________________________________</w:t>
      </w:r>
      <w:r>
        <w:rPr>
          <w:vertAlign w:val="superscript"/>
        </w:rPr>
        <w:t>______________________________________________________</w:t>
      </w:r>
    </w:p>
    <w:p w:rsidR="007B3333" w:rsidRDefault="006F4249">
      <w:pPr>
        <w:pStyle w:val="ConsPlusNormal"/>
        <w:jc w:val="center"/>
      </w:pPr>
      <w:r>
        <w:t>место осуществления калибровочной деятельности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vertAlign w:val="superscript"/>
        </w:rPr>
        <w:t>_______________________________________________________________________________________________________</w:t>
      </w:r>
    </w:p>
    <w:p w:rsidR="007B3333" w:rsidRDefault="006F4249">
      <w:pPr>
        <w:pStyle w:val="ConsPlusNormal"/>
        <w:jc w:val="center"/>
      </w:pPr>
      <w:r>
        <w:t>шифр калибровочного клейма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01"/>
        <w:gridCol w:w="1361"/>
        <w:gridCol w:w="1928"/>
        <w:gridCol w:w="2324"/>
      </w:tblGrid>
      <w:tr w:rsidR="007B33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N</w:t>
            </w:r>
          </w:p>
          <w:p w:rsidR="007B3333" w:rsidRDefault="006F424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 xml:space="preserve">Калибруемые </w:t>
            </w:r>
            <w:r>
              <w:t>объекты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hyperlink w:anchor="Par446" w:tooltip="2 Указывается минимальная расширенная неопределенность результатов калибровки." w:history="1">
              <w:r>
                <w:rPr>
                  <w:color w:val="0000FF"/>
                  <w:vertAlign w:val="superscript"/>
                </w:rPr>
                <w:t>2</w:t>
              </w:r>
            </w:hyperlink>
            <w:r>
              <w:t xml:space="preserve"> Неопределенность</w:t>
            </w:r>
          </w:p>
        </w:tc>
      </w:tr>
      <w:tr w:rsidR="007B33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/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Группы (тип) объектов калибровки, измеряемая (воспроизводимая) величина</w:t>
            </w:r>
          </w:p>
          <w:p w:rsidR="007B3333" w:rsidRDefault="006F4249">
            <w:pPr>
              <w:pStyle w:val="ConsPlusNormal"/>
              <w:jc w:val="center"/>
            </w:pPr>
            <w:r>
              <w:t>(ед. изм.)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Диапазон измерений</w:t>
            </w:r>
          </w:p>
          <w:p w:rsidR="007B3333" w:rsidRDefault="006F4249">
            <w:pPr>
              <w:pStyle w:val="ConsPlusNormal"/>
              <w:jc w:val="center"/>
            </w:pPr>
            <w:r>
              <w:t>(ед. изм.)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hyperlink w:anchor="Par445" w:tooltip="1 Указываются метрологические характеристики, определяемые по процедуре калибровки в соответствии с методикой калибровки." w:history="1">
              <w:r>
                <w:rPr>
                  <w:color w:val="0000FF"/>
                  <w:vertAlign w:val="superscript"/>
                </w:rPr>
                <w:t>1</w:t>
              </w:r>
            </w:hyperlink>
            <w:r>
              <w:t xml:space="preserve"> Метрологические характеристики</w:t>
            </w:r>
          </w:p>
          <w:p w:rsidR="007B3333" w:rsidRDefault="006F4249">
            <w:pPr>
              <w:pStyle w:val="ConsPlusNormal"/>
              <w:jc w:val="center"/>
            </w:pPr>
            <w:r>
              <w:t>(ед. изм.)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/>
        </w:tc>
      </w:tr>
      <w:tr w:rsidR="007B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5</w:t>
            </w:r>
          </w:p>
        </w:tc>
      </w:tr>
      <w:tr w:rsidR="007B33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</w:tbl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bookmarkStart w:id="24" w:name="Par445"/>
      <w:bookmarkEnd w:id="24"/>
      <w:r>
        <w:rPr>
          <w:vertAlign w:val="superscript"/>
        </w:rPr>
        <w:t>1</w:t>
      </w:r>
      <w:r>
        <w:t xml:space="preserve"> Указываются метрологические характеристики, определяемые по процедуре калибровки в соответствии с методикой калибровки.</w:t>
      </w:r>
    </w:p>
    <w:p w:rsidR="007B3333" w:rsidRDefault="006F4249">
      <w:pPr>
        <w:pStyle w:val="ConsPlusNormal"/>
        <w:spacing w:before="240"/>
        <w:ind w:firstLine="540"/>
        <w:jc w:val="both"/>
      </w:pPr>
      <w:bookmarkStart w:id="25" w:name="Par446"/>
      <w:bookmarkEnd w:id="25"/>
      <w:r>
        <w:rPr>
          <w:vertAlign w:val="superscript"/>
        </w:rPr>
        <w:t>2</w:t>
      </w:r>
      <w:r>
        <w:t xml:space="preserve"> Указывается минимальная расширенная неопределенность результатов калибровки.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3342"/>
        <w:gridCol w:w="2665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Главный метролог</w:t>
            </w:r>
          </w:p>
          <w:p w:rsidR="007B3333" w:rsidRDefault="006F4249">
            <w:pPr>
              <w:pStyle w:val="ConsPlusNormal"/>
            </w:pPr>
            <w:r>
              <w:t>Госкорпорации "Росатом"</w:t>
            </w: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</w:t>
            </w:r>
            <w:r>
              <w:t>__________</w:t>
            </w: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__________________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М.П.</w:t>
            </w: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right"/>
        <w:outlineLvl w:val="2"/>
      </w:pPr>
      <w:bookmarkStart w:id="26" w:name="Par463"/>
      <w:bookmarkEnd w:id="26"/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6F4249">
      <w:pPr>
        <w:pStyle w:val="ConsPlusNormal"/>
        <w:jc w:val="right"/>
        <w:outlineLvl w:val="2"/>
      </w:pPr>
      <w:r>
        <w:t>Приложение N 3</w:t>
      </w:r>
    </w:p>
    <w:p w:rsidR="007B3333" w:rsidRDefault="006F4249">
      <w:pPr>
        <w:pStyle w:val="ConsPlusNormal"/>
        <w:jc w:val="right"/>
      </w:pPr>
      <w:r>
        <w:t>к Положению</w:t>
      </w:r>
    </w:p>
    <w:p w:rsidR="007B3333" w:rsidRDefault="006F4249">
      <w:pPr>
        <w:pStyle w:val="ConsPlusNormal"/>
        <w:jc w:val="right"/>
      </w:pPr>
      <w:r>
        <w:t>(обязательное)</w:t>
      </w:r>
    </w:p>
    <w:p w:rsidR="007B3333" w:rsidRDefault="006F4249">
      <w:pPr>
        <w:pStyle w:val="ConsPlusNormal"/>
        <w:jc w:val="right"/>
      </w:pPr>
      <w:r>
        <w:t>(Приложение N 3 слова заменены в ред. Приказа Госкорпорации "Росатом" от 16.11.2022 N 1/1521-П)</w:t>
      </w: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Форма заявки на регистрацию в качестве ЭОК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t>(На бланке организации)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right"/>
      </w:pPr>
      <w:r>
        <w:t>Главному метрологу</w:t>
      </w:r>
    </w:p>
    <w:p w:rsidR="007B3333" w:rsidRDefault="006F4249">
      <w:pPr>
        <w:pStyle w:val="ConsPlusNormal"/>
        <w:jc w:val="right"/>
      </w:pPr>
      <w:r>
        <w:t>Госкорпорации "Росатом"</w:t>
      </w:r>
    </w:p>
    <w:p w:rsidR="007B3333" w:rsidRDefault="006F4249">
      <w:pPr>
        <w:pStyle w:val="ConsPlusNormal"/>
        <w:jc w:val="right"/>
      </w:pPr>
      <w:r>
        <w:t>_______________________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Прошу зарегистрировать в Реестре ЭОК</w:t>
      </w:r>
    </w:p>
    <w:p w:rsidR="007B3333" w:rsidRDefault="006F4249">
      <w:pPr>
        <w:pStyle w:val="ConsPlusNormal"/>
        <w:spacing w:before="240"/>
        <w:jc w:val="center"/>
      </w:pPr>
      <w:r>
        <w:t>______________________________________________________________,</w:t>
      </w:r>
    </w:p>
    <w:p w:rsidR="007B3333" w:rsidRDefault="006F4249">
      <w:pPr>
        <w:pStyle w:val="ConsPlusNormal"/>
        <w:jc w:val="center"/>
      </w:pPr>
      <w:r>
        <w:t>наименование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в качестве экспертной организации </w:t>
      </w:r>
      <w:r>
        <w:t xml:space="preserve">по оценке компетентности в выполнении калибровочных работ в соответствии с требованиями АСК и </w:t>
      </w:r>
      <w:hyperlink r:id="rId27" w:history="1">
        <w:r>
          <w:rPr>
            <w:color w:val="0000FF"/>
          </w:rPr>
          <w:t>ГОСТ</w:t>
        </w:r>
        <w:r>
          <w:rPr>
            <w:color w:val="0000FF"/>
          </w:rPr>
          <w:t xml:space="preserve"> ISO/IEC 17025-2019</w:t>
        </w:r>
      </w:hyperlink>
      <w:r>
        <w:t xml:space="preserve"> "Общие требования к компетентности испытательных и калибровочных лабораторий" с участием экспертов: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969"/>
      </w:tblGrid>
      <w:tr w:rsidR="007B3333">
        <w:tc>
          <w:tcPr>
            <w:tcW w:w="7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______________________________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(Ф.И.О.)</w:t>
            </w:r>
          </w:p>
        </w:tc>
      </w:tr>
      <w:tr w:rsidR="007B3333">
        <w:tc>
          <w:tcPr>
            <w:tcW w:w="7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right"/>
            </w:pPr>
            <w:r>
              <w:t>____________________________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(Ф.И.О.)</w:t>
            </w:r>
          </w:p>
        </w:tc>
      </w:tr>
      <w:tr w:rsidR="007B3333">
        <w:tc>
          <w:tcPr>
            <w:tcW w:w="7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right"/>
            </w:pPr>
            <w:r>
              <w:t>____________________________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(Ф.И.О.)</w:t>
            </w:r>
          </w:p>
        </w:tc>
      </w:tr>
      <w:tr w:rsidR="007B3333">
        <w:tc>
          <w:tcPr>
            <w:tcW w:w="7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____________________________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835"/>
        <w:gridCol w:w="3685"/>
      </w:tblGrid>
      <w:tr w:rsidR="007B3333">
        <w:tc>
          <w:tcPr>
            <w:tcW w:w="2551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Руководитель</w:t>
            </w:r>
          </w:p>
          <w:p w:rsidR="007B3333" w:rsidRDefault="006F4249">
            <w:pPr>
              <w:pStyle w:val="ConsPlusNormal"/>
            </w:pPr>
            <w:r>
              <w:t>организации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</w:tbl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6860"/>
      </w:tblGrid>
      <w:tr w:rsidR="007B3333">
        <w:tc>
          <w:tcPr>
            <w:tcW w:w="2187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6860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right"/>
            </w:pPr>
            <w:r>
              <w:t>"____" _____________ 20___ г.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right"/>
        <w:outlineLvl w:val="2"/>
      </w:pPr>
      <w:bookmarkStart w:id="27" w:name="Par512"/>
      <w:bookmarkEnd w:id="27"/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6F4249">
      <w:pPr>
        <w:pStyle w:val="ConsPlusNormal"/>
        <w:jc w:val="right"/>
        <w:outlineLvl w:val="2"/>
      </w:pPr>
      <w:r>
        <w:t>Приложение N 4</w:t>
      </w:r>
    </w:p>
    <w:p w:rsidR="007B3333" w:rsidRDefault="006F4249">
      <w:pPr>
        <w:pStyle w:val="ConsPlusNormal"/>
        <w:jc w:val="right"/>
      </w:pPr>
      <w:r>
        <w:t>к Положению</w:t>
      </w:r>
    </w:p>
    <w:p w:rsidR="007B3333" w:rsidRDefault="006F4249">
      <w:pPr>
        <w:pStyle w:val="ConsPlusNormal"/>
        <w:jc w:val="right"/>
      </w:pPr>
      <w:r>
        <w:t>(обязательное)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 xml:space="preserve">Бланк Извещения о </w:t>
      </w:r>
      <w:r>
        <w:rPr>
          <w:b/>
        </w:rPr>
        <w:t>регистрации ЭОК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051560" cy="110871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5"/>
                    <a:srcRect/>
                    <a:stretch/>
                  </pic:blipFill>
                  <pic:spPr>
                    <a:xfrm>
                      <a:off x="0" y="0"/>
                      <a:ext cx="10515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СИСТЕМА КАЛИБРОВКИ В ОБЛАСТИ ИСПОЛЬЗОВАНИЯ АТОМНОЙ ЭНЕРГИИ (АСК)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ИЗВЕЩЕНИЕ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Настоящим извещаю, что</w:t>
      </w:r>
    </w:p>
    <w:p w:rsidR="007B3333" w:rsidRDefault="006F4249">
      <w:pPr>
        <w:pStyle w:val="ConsPlusNormal"/>
        <w:spacing w:before="240"/>
        <w:jc w:val="center"/>
      </w:pPr>
      <w:r>
        <w:t>____________________________________________________________</w:t>
      </w:r>
    </w:p>
    <w:p w:rsidR="007B3333" w:rsidRDefault="006F4249">
      <w:pPr>
        <w:pStyle w:val="ConsPlusNormal"/>
        <w:jc w:val="center"/>
      </w:pPr>
      <w:r>
        <w:t>наименование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"__" _______20___ г. зарегистрирована в АСК в кач</w:t>
      </w:r>
      <w:r>
        <w:t xml:space="preserve">естве экспертной организации по оценке компетентности в выполнении калибровочных работ в соответствии с требованиями АСК и </w:t>
      </w:r>
      <w:hyperlink r:id="rId28" w:history="1">
        <w:r>
          <w:rPr>
            <w:color w:val="0000FF"/>
          </w:rPr>
          <w:t>ГОСТ ИСО/МЭК 17025-2009</w:t>
        </w:r>
      </w:hyperlink>
      <w:r>
        <w:t xml:space="preserve"> "Общие требования к компетентности испытательных и калибровочных лабораторий", имеющей в своем составе экспертов: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8277"/>
      </w:tblGrid>
      <w:tr w:rsidR="007B3333">
        <w:tc>
          <w:tcPr>
            <w:tcW w:w="7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______________________________________ (Аттестат ___________________)</w:t>
            </w:r>
          </w:p>
          <w:p w:rsidR="007B3333" w:rsidRDefault="006F4249">
            <w:pPr>
              <w:pStyle w:val="ConsPlusNormal"/>
              <w:jc w:val="both"/>
            </w:pPr>
            <w:r>
              <w:t xml:space="preserve">(фамилия, </w:t>
            </w:r>
            <w:r>
              <w:t>инициалы)</w:t>
            </w:r>
          </w:p>
        </w:tc>
      </w:tr>
      <w:tr w:rsidR="007B3333">
        <w:tc>
          <w:tcPr>
            <w:tcW w:w="769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______________________________________ (Аттестат ___________________)</w:t>
            </w:r>
          </w:p>
          <w:p w:rsidR="007B3333" w:rsidRDefault="006F4249">
            <w:pPr>
              <w:pStyle w:val="ConsPlusNormal"/>
              <w:jc w:val="both"/>
            </w:pPr>
            <w:r>
              <w:t>(фамилия, инициалы)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со сроком действия до "__" _________20__ г.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3342"/>
        <w:gridCol w:w="2665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Главный метролог</w:t>
            </w:r>
          </w:p>
          <w:p w:rsidR="007B3333" w:rsidRDefault="006F4249">
            <w:pPr>
              <w:pStyle w:val="ConsPlusNormal"/>
            </w:pPr>
            <w:r>
              <w:t>Госкорпорации "Росатом"</w:t>
            </w: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_______________________</w:t>
            </w: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__________________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 xml:space="preserve">фамилия, </w:t>
            </w:r>
            <w:r>
              <w:t>инициалы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right"/>
        <w:outlineLvl w:val="2"/>
      </w:pPr>
      <w:bookmarkStart w:id="28" w:name="Par554"/>
      <w:bookmarkEnd w:id="28"/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6F4249">
      <w:pPr>
        <w:pStyle w:val="ConsPlusNormal"/>
        <w:jc w:val="right"/>
        <w:outlineLvl w:val="2"/>
      </w:pPr>
      <w:r>
        <w:t>Приложение N 5</w:t>
      </w:r>
    </w:p>
    <w:p w:rsidR="007B3333" w:rsidRDefault="006F4249">
      <w:pPr>
        <w:pStyle w:val="ConsPlusNormal"/>
        <w:jc w:val="right"/>
      </w:pPr>
      <w:r>
        <w:t>к Положению</w:t>
      </w:r>
    </w:p>
    <w:p w:rsidR="007B3333" w:rsidRDefault="006F4249">
      <w:pPr>
        <w:pStyle w:val="ConsPlusNormal"/>
        <w:jc w:val="right"/>
      </w:pPr>
      <w:r>
        <w:t>(обязательное)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Форма заявки организации в Подтверждающую организацию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right"/>
      </w:pPr>
      <w:r>
        <w:t>Руководителю________________________________________</w:t>
      </w:r>
    </w:p>
    <w:p w:rsidR="007B3333" w:rsidRDefault="006F4249">
      <w:pPr>
        <w:pStyle w:val="ConsPlusNormal"/>
        <w:jc w:val="right"/>
      </w:pPr>
      <w:r>
        <w:t>наименование Подтверждающей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ЗАЯВКА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Прошу провести оценку </w:t>
      </w:r>
      <w:r>
        <w:t>компетентности в выполнении калибровочных работ</w:t>
      </w:r>
    </w:p>
    <w:p w:rsidR="007B3333" w:rsidRDefault="006F4249">
      <w:pPr>
        <w:pStyle w:val="ConsPlusNormal"/>
        <w:spacing w:before="240"/>
        <w:jc w:val="center"/>
      </w:pPr>
      <w:r>
        <w:t>____________________________________________________________</w:t>
      </w:r>
    </w:p>
    <w:p w:rsidR="007B3333" w:rsidRDefault="006F4249">
      <w:pPr>
        <w:pStyle w:val="ConsPlusNormal"/>
        <w:jc w:val="center"/>
      </w:pPr>
      <w:r>
        <w:t>наименование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в соответствии с требованиями АСК и </w:t>
      </w:r>
      <w:hyperlink r:id="rId29" w:history="1">
        <w:r>
          <w:rPr>
            <w:color w:val="0000FF"/>
          </w:rPr>
          <w:t>ГОСТ ИСО/МЭК 17025-2009</w:t>
        </w:r>
      </w:hyperlink>
      <w:r>
        <w:t xml:space="preserve"> "Общие требования к компетентности испытательных и калибровочных лабораторий".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Обязуемся: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обеспечить выполнение требований АСК и </w:t>
      </w:r>
      <w:hyperlink r:id="rId30" w:history="1">
        <w:r>
          <w:rPr>
            <w:color w:val="0000FF"/>
          </w:rPr>
          <w:t>ГОСТ ИСО/МЭК 17025-2009</w:t>
        </w:r>
      </w:hyperlink>
      <w:r>
        <w:t>.</w:t>
      </w:r>
    </w:p>
    <w:p w:rsidR="007B3333" w:rsidRDefault="007B3333">
      <w:pPr>
        <w:pStyle w:val="ConsPlusNormal"/>
        <w:ind w:firstLine="540"/>
        <w:jc w:val="both"/>
      </w:pPr>
    </w:p>
    <w:p w:rsidR="007B3333" w:rsidRDefault="006F4249">
      <w:pPr>
        <w:pStyle w:val="ConsPlusNormal"/>
        <w:ind w:firstLine="540"/>
        <w:jc w:val="both"/>
      </w:pPr>
      <w:r>
        <w:t>Приложения: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8277"/>
      </w:tblGrid>
      <w:tr w:rsidR="007B333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Проект Области признания компетентности в выполнении калибровочных работ.</w:t>
            </w:r>
          </w:p>
        </w:tc>
      </w:tr>
      <w:tr w:rsidR="007B333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Реквизиты юридического лица, контактное лицо.</w:t>
            </w:r>
          </w:p>
        </w:tc>
      </w:tr>
      <w:tr w:rsidR="007B333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Протоколы (отчеты) о пробной калибровке.</w:t>
            </w:r>
          </w:p>
        </w:tc>
      </w:tr>
      <w:tr w:rsidR="007B333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Копия аттестата аккредитации на поверку средств измерений (при наличии).</w:t>
            </w:r>
          </w:p>
        </w:tc>
      </w:tr>
      <w:tr w:rsidR="007B333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Руководство по качеству организации и выполнения калибровочных работ с приложениями.</w:t>
            </w:r>
          </w:p>
        </w:tc>
      </w:tr>
    </w:tbl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3342"/>
        <w:gridCol w:w="3912"/>
      </w:tblGrid>
      <w:tr w:rsidR="007B3333">
        <w:tc>
          <w:tcPr>
            <w:tcW w:w="1814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Руководитель</w:t>
            </w:r>
          </w:p>
          <w:p w:rsidR="007B3333" w:rsidRDefault="006F4249">
            <w:pPr>
              <w:pStyle w:val="ConsPlusNormal"/>
            </w:pPr>
            <w:r>
              <w:t>организации</w:t>
            </w: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912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</w:tbl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6860"/>
      </w:tblGrid>
      <w:tr w:rsidR="007B3333">
        <w:tc>
          <w:tcPr>
            <w:tcW w:w="2187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6860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right"/>
            </w:pPr>
            <w:r>
              <w:t>"____" _____________ 20___ г.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right"/>
        <w:outlineLvl w:val="2"/>
      </w:pPr>
      <w:bookmarkStart w:id="29" w:name="Par602"/>
      <w:bookmarkEnd w:id="29"/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6F4249">
      <w:pPr>
        <w:pStyle w:val="ConsPlusNormal"/>
        <w:jc w:val="right"/>
        <w:outlineLvl w:val="2"/>
      </w:pPr>
      <w:r>
        <w:t>Приложение N 6</w:t>
      </w:r>
    </w:p>
    <w:p w:rsidR="007B3333" w:rsidRDefault="006F4249">
      <w:pPr>
        <w:pStyle w:val="ConsPlusNormal"/>
        <w:jc w:val="right"/>
      </w:pPr>
      <w:r>
        <w:t>к Положению</w:t>
      </w:r>
    </w:p>
    <w:p w:rsidR="007B3333" w:rsidRDefault="006F4249">
      <w:pPr>
        <w:pStyle w:val="ConsPlusNormal"/>
        <w:jc w:val="right"/>
      </w:pPr>
      <w:r>
        <w:t>(рекомендуемое)</w:t>
      </w:r>
    </w:p>
    <w:p w:rsidR="007B3333" w:rsidRDefault="006F4249">
      <w:pPr>
        <w:pStyle w:val="ConsPlusNormal"/>
        <w:jc w:val="right"/>
      </w:pPr>
      <w:r>
        <w:t xml:space="preserve">(Приложение N 6 слова заменены в ред. Приказа </w:t>
      </w:r>
      <w:r>
        <w:t>Госкорпорации "Росатом" от 16.11.2022 N 1/1521-П)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Форма Акта оценки компетентности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АКТ</w:t>
      </w:r>
    </w:p>
    <w:p w:rsidR="007B3333" w:rsidRDefault="006F4249">
      <w:pPr>
        <w:pStyle w:val="ConsPlusNormal"/>
        <w:jc w:val="center"/>
      </w:pPr>
      <w:r>
        <w:rPr>
          <w:b/>
        </w:rPr>
        <w:t>оценки компетентности в</w:t>
      </w:r>
    </w:p>
    <w:p w:rsidR="007B3333" w:rsidRDefault="006F4249">
      <w:pPr>
        <w:pStyle w:val="ConsPlusNormal"/>
        <w:jc w:val="center"/>
      </w:pPr>
      <w:r>
        <w:rPr>
          <w:b/>
        </w:rPr>
        <w:t>выполнении калибровочных работ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t>____________________________________________________________</w:t>
      </w:r>
    </w:p>
    <w:p w:rsidR="007B3333" w:rsidRDefault="006F4249">
      <w:pPr>
        <w:pStyle w:val="ConsPlusNormal"/>
        <w:jc w:val="center"/>
      </w:pPr>
      <w:r>
        <w:t>наименование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В период с "____" ______</w:t>
      </w:r>
      <w:r>
        <w:t>______ 20__ г. по "____" _____________ 20__ г.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комиссия в составе: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председатель комиссии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B3333">
        <w:tc>
          <w:tcPr>
            <w:tcW w:w="907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907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место работы, должность, фамилия, инициалы</w:t>
            </w:r>
          </w:p>
        </w:tc>
      </w:tr>
    </w:tbl>
    <w:p w:rsidR="007B3333" w:rsidRDefault="006F4249">
      <w:pPr>
        <w:pStyle w:val="ConsPlusNormal"/>
        <w:ind w:firstLine="540"/>
        <w:jc w:val="both"/>
      </w:pPr>
      <w:r>
        <w:t>члены комиссии:</w:t>
      </w:r>
    </w:p>
    <w:p w:rsidR="007B3333" w:rsidRDefault="007B3333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B3333">
        <w:tc>
          <w:tcPr>
            <w:tcW w:w="907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907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место работы, должность, фамилия, инициалы</w:t>
            </w:r>
          </w:p>
        </w:tc>
      </w:tr>
      <w:tr w:rsidR="007B3333">
        <w:tc>
          <w:tcPr>
            <w:tcW w:w="907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907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место работы, должность, фамилия, инициалы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провела </w:t>
      </w:r>
      <w:r>
        <w:t>проверку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t>____________________________________________________________</w:t>
      </w:r>
    </w:p>
    <w:p w:rsidR="007B3333" w:rsidRDefault="006F4249">
      <w:pPr>
        <w:pStyle w:val="ConsPlusNormal"/>
        <w:jc w:val="center"/>
      </w:pPr>
      <w:r>
        <w:t>наименование организации</w:t>
      </w: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both"/>
      </w:pPr>
      <w:r>
        <w:t xml:space="preserve">с целью оценки компетентности в выполнении калибровочных работ в соответствии с требованиями АСК и </w:t>
      </w:r>
      <w:hyperlink r:id="rId31" w:history="1">
        <w:r>
          <w:rPr>
            <w:color w:val="0000FF"/>
          </w:rPr>
          <w:t>ГОСТ ISO/IEC 17025-2019</w:t>
        </w:r>
      </w:hyperlink>
      <w:r>
        <w:t>.</w:t>
      </w: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7B3333">
      <w:pPr>
        <w:pStyle w:val="ConsPlusNormal"/>
        <w:ind w:firstLine="540"/>
        <w:jc w:val="both"/>
      </w:pPr>
    </w:p>
    <w:p w:rsidR="007B3333" w:rsidRDefault="006F4249">
      <w:pPr>
        <w:pStyle w:val="ConsPlusNormal"/>
        <w:ind w:firstLine="540"/>
        <w:jc w:val="both"/>
      </w:pPr>
      <w:r>
        <w:t>При проверке установлено (таблица 1):</w:t>
      </w:r>
    </w:p>
    <w:p w:rsidR="007B3333" w:rsidRDefault="006F4249">
      <w:pPr>
        <w:pStyle w:val="ConsPlusNormal"/>
        <w:spacing w:before="240"/>
        <w:jc w:val="right"/>
      </w:pPr>
      <w:r>
        <w:t>Таблица 1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293"/>
        <w:gridCol w:w="1985"/>
      </w:tblGrid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Проверяемые характеристики организации калибровочной </w:t>
            </w:r>
            <w:r>
              <w:rPr>
                <w:b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Заключение комиссии</w:t>
            </w: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Основные характеристики политики в области качества организации и выполнения калибровочных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Обязательства руководства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Задачи, стоящие перед системой качества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Требования к персоналу по ознакомлению </w:t>
            </w:r>
            <w:r>
              <w:t>с документацией системы качества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ответственного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Организация калибровочной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Структурная схема организации калибровочных работ, административное и методическое руководство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Обязанности, функции и ответственность </w:t>
            </w:r>
            <w:r>
              <w:t>элементов структурной схемы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Оснащенность и состояние средств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Соответствие средств калибровки требованиям нормативной документации на методики калибровки и средства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эталонов, иных средств калибровки, вспомогател</w:t>
            </w:r>
            <w:r>
              <w:t>ьного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доказательств прослеживаемости измерений, в т.ч. наличие сертификатов калибровки (свидетельств о поверке) эталонов и иных средств калибровки, используемых при калибровке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Наличие графиков технического обслуживания, </w:t>
            </w:r>
            <w:r>
              <w:t>профилактического осмотра, ремонта эталонов, иных средств калибровки, вспомогательного оборудования; графиков калибровки (поверки) эталонов, иных средств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Условия приобретения, хранения, транспортировки к месту проведения работ и эксплуатац</w:t>
            </w:r>
            <w:r>
              <w:t>ии средств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Процедура изъятия из эксплуатации неисправных средств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учетного документа на каждую единицу эталонов, иных средств калибровки, вспомогательного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Наличие ответственного лица за состояние </w:t>
            </w:r>
            <w:r>
              <w:t>средств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Обеспеченность нормативной документацией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Наличие необходимой актуализированной нормативно-правовой и нормативной документации (НД), включающей </w:t>
            </w:r>
            <w:r>
              <w:lastRenderedPageBreak/>
              <w:t>документы, регламентирующие деятельность по обеспечению единства измерений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Пор</w:t>
            </w:r>
            <w:r>
              <w:t>ядок ведения и актуализации 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информации об используемых методиках калибровки, об их разработчиках и уровне утверждения и согласования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Выполнение требований к методикам калибровки, применяемым в АСК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Нормирование комплекса </w:t>
            </w:r>
            <w:r>
              <w:t>метрологических характеристик калибруемых объектов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Выбор средств калибровки, правильность доказательств их прослеживаемости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Выбор метода передачи размера единицы величины калибруемому объекту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Достаточность и правильность описания </w:t>
            </w:r>
            <w:r>
              <w:t>калибровочных процедур и обработки результатов измерений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Правильность оценивания неопределенности результатов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Правильность оформления результатов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Квалификация и опыт работы персонала в данной области измерений, состоян</w:t>
            </w:r>
            <w:r>
              <w:rPr>
                <w:b/>
              </w:rPr>
              <w:t>ие проводимой работы по повышению квалификации персонала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квалификационных требований к калибровщикам, включая требования техники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Соответствие профессиональной подготовки калибровщиков профилю выполняемых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</w:t>
            </w:r>
            <w:r>
              <w:t xml:space="preserve"> и выполнение графиков проведения обучения и повышения квалификации калибровщиков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Помещения. Окружающая 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документов, подтверждающих соответствие помещений установленным требованиям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Оценка условий для приема и хранения принятых </w:t>
            </w:r>
            <w:r>
              <w:t>на калибровку и прошедших калибровку средств измерений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Обеспечение условий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Регистрация принятых на калибровку средств измерений (объектов калибровки)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журналов учета объектов калибровки, принятых на калибровку, в которых ф</w:t>
            </w:r>
            <w:r>
              <w:t>иксируется вся информация, необходимая для идентификации объекта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ответственного лица, назначенного руководителем метрологической службы (калибровочной лаборатории), за ведением журнала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Наличие процедуры анализа заявок </w:t>
            </w:r>
            <w:r>
              <w:t>на проведение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и документирование процедур транспортирования, получения, обращения, защиты и хранения калибруемых объектов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Порядок проведения калибровочных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Заполнение протокола калибровки (рабочего журнала калибровщи</w:t>
            </w:r>
            <w:r>
              <w:t>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Описание взаимодействия с заказчиками на этапе проведения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Оформление результатов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сведений о регистрации, хранении, оформлении данных, получаемых в результате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Соответствие формы </w:t>
            </w:r>
            <w:r>
              <w:t>сертификата калибровки требованиям АСК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способа идентификации номера сертификата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Соответствие калибровочных знаков (клейм) установленным требованиям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процедуры выдачи, хранения и гашения калибровочных клейм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Контроль качества выполнения калибровочных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внутренних проверок качества выполнения калибровочных работ и документирование ее результатов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lastRenderedPageBreak/>
              <w:t>11.2</w:t>
            </w:r>
          </w:p>
          <w:p w:rsidR="007B3333" w:rsidRDefault="007B3333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описаний корректирующих и предупреждающих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 xml:space="preserve">Наличие сведений о </w:t>
            </w:r>
            <w:r>
              <w:t>проведении внешнего контроля со стороны АСК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Порядок рассмотрения претензий и рекламаций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  <w:rPr>
                <w:b/>
              </w:rPr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процедуры рассмотрения претензий и рекламаций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Наличие описания мер, принимаемых при подтверждении факта некачественного выполнения калибровки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</w:tbl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Заключение комиссии: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Комиссия считает, что компетентность в выполнении калибровочных работ ______________________________________________________________________________</w:t>
      </w:r>
    </w:p>
    <w:p w:rsidR="007B3333" w:rsidRDefault="006F4249">
      <w:pPr>
        <w:pStyle w:val="ConsPlusNormal"/>
        <w:spacing w:before="240"/>
        <w:jc w:val="center"/>
      </w:pPr>
      <w:r>
        <w:t>наименование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(не) соответствует требованиям АСК и </w:t>
      </w:r>
      <w:hyperlink r:id="rId32" w:history="1">
        <w:r>
          <w:rPr>
            <w:color w:val="0000FF"/>
          </w:rPr>
          <w:t>ГОСТ ISO/IEC 17025-2019</w:t>
        </w:r>
      </w:hyperlink>
      <w:r>
        <w:t>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Комиссия рекомендует: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t>____________________________________________________________</w:t>
      </w:r>
    </w:p>
    <w:p w:rsidR="007B3333" w:rsidRDefault="006F4249">
      <w:pPr>
        <w:pStyle w:val="ConsPlusNormal"/>
        <w:jc w:val="center"/>
      </w:pPr>
      <w:r>
        <w:t>указываются рекомендации комиссии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Назначить срок проведения инспекционного контроля _____________________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693"/>
        <w:gridCol w:w="3288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Члены комиссии: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</w:t>
            </w:r>
            <w:r>
              <w:t>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</w:tbl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665"/>
        <w:gridCol w:w="3288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 Актом ознакомлен:</w:t>
            </w:r>
          </w:p>
          <w:p w:rsidR="007B3333" w:rsidRDefault="006F4249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right"/>
        <w:outlineLvl w:val="2"/>
      </w:pPr>
      <w:bookmarkStart w:id="30" w:name="Par862"/>
      <w:bookmarkEnd w:id="30"/>
      <w:r>
        <w:t>Приложение N 7</w:t>
      </w:r>
    </w:p>
    <w:p w:rsidR="007B3333" w:rsidRDefault="006F4249">
      <w:pPr>
        <w:pStyle w:val="ConsPlusNormal"/>
        <w:jc w:val="right"/>
      </w:pPr>
      <w:r>
        <w:t xml:space="preserve">к </w:t>
      </w:r>
      <w:r>
        <w:t>Положению</w:t>
      </w:r>
    </w:p>
    <w:p w:rsidR="007B3333" w:rsidRDefault="006F4249">
      <w:pPr>
        <w:pStyle w:val="ConsPlusNormal"/>
        <w:jc w:val="right"/>
      </w:pPr>
      <w:r>
        <w:t>(обязательное)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Форма Извещения об аннулировании</w:t>
      </w:r>
    </w:p>
    <w:p w:rsidR="007B3333" w:rsidRDefault="006F4249">
      <w:pPr>
        <w:pStyle w:val="ConsPlusNormal"/>
        <w:jc w:val="center"/>
      </w:pPr>
      <w:r>
        <w:rPr>
          <w:b/>
        </w:rPr>
        <w:t>Свидетельства о признании компетентности в АСК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1051560" cy="11087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5"/>
                    <a:srcRect/>
                    <a:stretch/>
                  </pic:blipFill>
                  <pic:spPr>
                    <a:xfrm>
                      <a:off x="0" y="0"/>
                      <a:ext cx="10515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t>Система калибровки в области использования атомной энергии (АСК)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ИЗВЕЩЕНИЕ</w:t>
      </w:r>
    </w:p>
    <w:p w:rsidR="007B3333" w:rsidRDefault="006F4249">
      <w:pPr>
        <w:pStyle w:val="ConsPlusNormal"/>
        <w:jc w:val="center"/>
      </w:pPr>
      <w:r>
        <w:rPr>
          <w:b/>
        </w:rPr>
        <w:t>об аннулировании</w:t>
      </w:r>
    </w:p>
    <w:p w:rsidR="007B3333" w:rsidRDefault="006F4249">
      <w:pPr>
        <w:pStyle w:val="ConsPlusNormal"/>
        <w:jc w:val="center"/>
      </w:pPr>
      <w:r>
        <w:rPr>
          <w:b/>
        </w:rPr>
        <w:t>Свидетельства о признании компетентности в АСК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t>N ___</w:t>
      </w:r>
      <w:r>
        <w:t>_ от __________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Настоящим извещаю, что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t>____________________________________________________________</w:t>
      </w:r>
    </w:p>
    <w:p w:rsidR="007B3333" w:rsidRDefault="006F4249">
      <w:pPr>
        <w:pStyle w:val="ConsPlusNormal"/>
        <w:jc w:val="center"/>
      </w:pPr>
      <w:r>
        <w:t>наименование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с "______" ______________ 20__________ г. исключена из Реестра АСК вследствие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t>______________________________________________________________________________</w:t>
      </w:r>
    </w:p>
    <w:p w:rsidR="007B3333" w:rsidRDefault="006F4249">
      <w:pPr>
        <w:pStyle w:val="ConsPlusNormal"/>
        <w:jc w:val="center"/>
      </w:pPr>
      <w:r>
        <w:t>указываются причины аннулирования Свидетельства о признании компетентности в АСК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608"/>
        <w:gridCol w:w="3288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Главный метролог</w:t>
            </w:r>
          </w:p>
          <w:p w:rsidR="007B3333" w:rsidRDefault="006F4249">
            <w:pPr>
              <w:pStyle w:val="ConsPlusNormal"/>
            </w:pPr>
            <w:r>
              <w:t>Госкорпорации "Росатом"</w:t>
            </w:r>
          </w:p>
        </w:tc>
        <w:tc>
          <w:tcPr>
            <w:tcW w:w="260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__________________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_______________________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2608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М.П.</w:t>
            </w:r>
          </w:p>
        </w:tc>
        <w:tc>
          <w:tcPr>
            <w:tcW w:w="260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right"/>
        <w:outlineLvl w:val="2"/>
      </w:pPr>
      <w:bookmarkStart w:id="31" w:name="Par904"/>
      <w:bookmarkEnd w:id="31"/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6F4249">
      <w:pPr>
        <w:pStyle w:val="ConsPlusNormal"/>
        <w:jc w:val="right"/>
        <w:outlineLvl w:val="2"/>
      </w:pPr>
      <w:r>
        <w:t>Приложение N 8</w:t>
      </w:r>
    </w:p>
    <w:p w:rsidR="007B3333" w:rsidRDefault="006F4249">
      <w:pPr>
        <w:pStyle w:val="ConsPlusNormal"/>
        <w:jc w:val="right"/>
      </w:pPr>
      <w:r>
        <w:t>к Положению</w:t>
      </w:r>
    </w:p>
    <w:p w:rsidR="007B3333" w:rsidRDefault="006F4249">
      <w:pPr>
        <w:pStyle w:val="ConsPlusNormal"/>
        <w:jc w:val="right"/>
      </w:pPr>
      <w:r>
        <w:lastRenderedPageBreak/>
        <w:t>(обязательное)</w:t>
      </w:r>
    </w:p>
    <w:p w:rsidR="007B3333" w:rsidRDefault="006F4249">
      <w:pPr>
        <w:pStyle w:val="ConsPlusNormal"/>
        <w:jc w:val="right"/>
      </w:pPr>
      <w:r>
        <w:t>(Приложение N 8 слова заменены в ред. Приказа Госкорпорации "Росатом" от 16.11.2022 N 1/1521-П)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Форма Уведомления о проведении инспекционного контроля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right"/>
      </w:pPr>
      <w:r>
        <w:t>Руководителю_________________________________________</w:t>
      </w:r>
    </w:p>
    <w:p w:rsidR="007B3333" w:rsidRDefault="006F4249">
      <w:pPr>
        <w:pStyle w:val="ConsPlusNormal"/>
        <w:jc w:val="right"/>
      </w:pPr>
      <w:r>
        <w:t>_____________________________________________________</w:t>
      </w:r>
    </w:p>
    <w:p w:rsidR="007B3333" w:rsidRDefault="006F4249">
      <w:pPr>
        <w:pStyle w:val="ConsPlusNormal"/>
        <w:jc w:val="right"/>
      </w:pPr>
      <w:r>
        <w:t>наименование организации, адрес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УВЕДОМЛЕНИЕ</w:t>
      </w:r>
    </w:p>
    <w:p w:rsidR="007B3333" w:rsidRDefault="006F4249">
      <w:pPr>
        <w:pStyle w:val="ConsPlusNormal"/>
        <w:jc w:val="center"/>
      </w:pPr>
      <w:r>
        <w:rPr>
          <w:b/>
        </w:rPr>
        <w:t>о проведении инспекционного контроля за соблюдением требований АСК и ГОСТ ISO/IEC 17025-2019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В соответ</w:t>
      </w:r>
      <w:r>
        <w:t xml:space="preserve">ствии с Положением об организации деятельности системы калибровки в области использования атомной энергии и Актом оценки компетентности (Актом инспекционного контроля) от "__" ______ 20__ г. в руководимой Вами организации (наименование организации) ______ </w:t>
      </w:r>
      <w:r>
        <w:t xml:space="preserve">20 __ г. предполагается провести инспекционный контроль за соблюдением требований АСК и </w:t>
      </w:r>
      <w:hyperlink r:id="rId33" w:history="1">
        <w:r>
          <w:rPr>
            <w:color w:val="0000FF"/>
          </w:rPr>
          <w:t>ГОСТ ISO/I</w:t>
        </w:r>
        <w:r>
          <w:rPr>
            <w:color w:val="0000FF"/>
          </w:rPr>
          <w:t>EC 17025-2019</w:t>
        </w:r>
      </w:hyperlink>
      <w:r>
        <w:t>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Прошу провести все необходимые подготовительные работы, включая подготовку справки-отчета, опросного листа и создать условия, необходимые для проведения проверки.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Прошу направить информацию о предпочтительной для Вас дате проведения прове</w:t>
      </w:r>
      <w:r>
        <w:t>рки в адрес базовой организации метрологической службы по калибровке не позднее __________________20__ г.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721"/>
        <w:gridCol w:w="3288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Руководитель</w:t>
            </w:r>
          </w:p>
          <w:p w:rsidR="007B3333" w:rsidRDefault="006F4249">
            <w:pPr>
              <w:pStyle w:val="ConsPlusNormal"/>
              <w:jc w:val="both"/>
            </w:pPr>
            <w:r>
              <w:t>базовой организации</w:t>
            </w:r>
          </w:p>
          <w:p w:rsidR="007B3333" w:rsidRDefault="006F4249">
            <w:pPr>
              <w:pStyle w:val="ConsPlusNormal"/>
              <w:jc w:val="both"/>
            </w:pPr>
            <w:r>
              <w:t>метрологической службы</w:t>
            </w:r>
          </w:p>
          <w:p w:rsidR="007B3333" w:rsidRDefault="006F4249">
            <w:pPr>
              <w:pStyle w:val="ConsPlusNormal"/>
            </w:pPr>
            <w:r>
              <w:t>по калибровке</w:t>
            </w:r>
          </w:p>
        </w:tc>
        <w:tc>
          <w:tcPr>
            <w:tcW w:w="2721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___________________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both"/>
            </w:pPr>
            <w:r>
              <w:t>_______________________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2721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right"/>
        <w:outlineLvl w:val="2"/>
      </w:pPr>
      <w:bookmarkStart w:id="32" w:name="Par938"/>
      <w:bookmarkEnd w:id="32"/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7B3333">
      <w:pPr>
        <w:pStyle w:val="ConsPlusNormal"/>
        <w:jc w:val="right"/>
        <w:outlineLvl w:val="2"/>
      </w:pPr>
    </w:p>
    <w:p w:rsidR="007B3333" w:rsidRDefault="006F4249">
      <w:pPr>
        <w:pStyle w:val="ConsPlusNormal"/>
        <w:jc w:val="right"/>
        <w:outlineLvl w:val="2"/>
      </w:pPr>
      <w:r>
        <w:t>Приложение N 9</w:t>
      </w:r>
    </w:p>
    <w:p w:rsidR="007B3333" w:rsidRDefault="006F4249">
      <w:pPr>
        <w:pStyle w:val="ConsPlusNormal"/>
        <w:jc w:val="right"/>
      </w:pPr>
      <w:r>
        <w:t>к Положению</w:t>
      </w:r>
    </w:p>
    <w:p w:rsidR="007B3333" w:rsidRDefault="006F4249">
      <w:pPr>
        <w:pStyle w:val="ConsPlusNormal"/>
        <w:jc w:val="right"/>
      </w:pPr>
      <w:r>
        <w:t>(рекомендуемое)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Форма справки-отчета о калибровочных работах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Справка-отчет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both"/>
      </w:pPr>
      <w:r>
        <w:t>о калибровочных работах, выполненных</w:t>
      </w:r>
    </w:p>
    <w:p w:rsidR="007B3333" w:rsidRDefault="007B3333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B3333">
        <w:tc>
          <w:tcPr>
            <w:tcW w:w="9071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</w:tr>
      <w:tr w:rsidR="007B3333">
        <w:tc>
          <w:tcPr>
            <w:tcW w:w="9071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 xml:space="preserve">с </w:t>
            </w:r>
            <w:r>
              <w:t>______________ по _____________________________________________________________</w:t>
            </w:r>
          </w:p>
        </w:tc>
      </w:tr>
      <w:tr w:rsidR="007B3333">
        <w:tc>
          <w:tcPr>
            <w:tcW w:w="9071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(период деятельности от последней проверки до представления настоящей информации)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Свидетельство о признании компетентности в АСК N ____ от________.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1. Сведения о количестве </w:t>
      </w:r>
      <w:r>
        <w:t>выполненных калибровок и количестве выданных Сертификатов калибровки.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2. Информация о деятельности калибровочной лаборатории: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изменения, произошедшие в калибровочной лаборатории и до настоящего времени не оформленные в АСК (в штатном составе, структуре кал</w:t>
      </w:r>
      <w:r>
        <w:t>ибровочной лаборатории, номенклатуре и состоянии средств калибровки, состоянии помещений, документах калибровочной лаборатории, в том числе Руководстве по качеству организации и выполнения калибровочных работ);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информация о рекламациях (апелляциях, замечан</w:t>
      </w:r>
      <w:r>
        <w:t>иях, выявленных нарушениях) на деятельность калибровочной лаборатории с указанием авторов рекламаций, дат поступления, содержания и принятых мер по их устранению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(при их наличии);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информация о проводимом внутреннем контроле с указанием дат проведения и кор</w:t>
      </w:r>
      <w:r>
        <w:t>ректирующих мероприятий;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информация о предыдущем инспекционном контроле и выполнении корректирующих мероприятий (при их наличии).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3. Сведения о необходимости внесения изменений в Область признания компетентности в выполнении калибровочных работ.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91"/>
        <w:gridCol w:w="3118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Руководит</w:t>
            </w:r>
            <w:r>
              <w:t>ель организации</w:t>
            </w:r>
          </w:p>
        </w:tc>
        <w:tc>
          <w:tcPr>
            <w:tcW w:w="2891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Главный метролог</w:t>
            </w:r>
          </w:p>
        </w:tc>
        <w:tc>
          <w:tcPr>
            <w:tcW w:w="2891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инициалы, фамилия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Дата составления справки ________________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right"/>
        <w:outlineLvl w:val="2"/>
      </w:pPr>
      <w:bookmarkStart w:id="33" w:name="Par977"/>
      <w:bookmarkEnd w:id="33"/>
      <w:r>
        <w:t>Приложение N 10</w:t>
      </w:r>
    </w:p>
    <w:p w:rsidR="007B3333" w:rsidRDefault="006F4249">
      <w:pPr>
        <w:pStyle w:val="ConsPlusNormal"/>
        <w:jc w:val="right"/>
      </w:pPr>
      <w:r>
        <w:t>к Положению</w:t>
      </w:r>
    </w:p>
    <w:p w:rsidR="007B3333" w:rsidRDefault="006F4249">
      <w:pPr>
        <w:pStyle w:val="ConsPlusNormal"/>
        <w:jc w:val="right"/>
      </w:pPr>
      <w:r>
        <w:t>(рекомендуемое)</w:t>
      </w:r>
    </w:p>
    <w:p w:rsidR="007B3333" w:rsidRDefault="006F4249">
      <w:pPr>
        <w:pStyle w:val="ConsPlusNormal"/>
        <w:jc w:val="right"/>
      </w:pPr>
      <w:r>
        <w:t>(Приложение N 10 слова заменены в ред. Приказа Госкорпорации "Росатом" от 16.11.2022 N 1/1521-П)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jc w:val="center"/>
      </w:pPr>
      <w:r>
        <w:rPr>
          <w:b/>
        </w:rPr>
        <w:t>Форма Акта инспекционного контроля</w:t>
      </w:r>
    </w:p>
    <w:p w:rsidR="007B3333" w:rsidRDefault="006F4249">
      <w:pPr>
        <w:pStyle w:val="ConsPlusNormal"/>
        <w:jc w:val="center"/>
      </w:pPr>
      <w:r>
        <w:rPr>
          <w:b/>
        </w:rPr>
        <w:t>АКТ ИНСПЕКЦИОННОГО КОНТРОЛЯ</w:t>
      </w:r>
    </w:p>
    <w:p w:rsidR="007B3333" w:rsidRDefault="006F4249">
      <w:pPr>
        <w:pStyle w:val="ConsPlusNormal"/>
        <w:jc w:val="center"/>
      </w:pPr>
      <w:r>
        <w:t>_________________________________________</w:t>
      </w:r>
    </w:p>
    <w:p w:rsidR="007B3333" w:rsidRDefault="006F4249">
      <w:pPr>
        <w:pStyle w:val="ConsPlusNormal"/>
        <w:jc w:val="center"/>
      </w:pPr>
      <w:r>
        <w:t>наименование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В период с </w:t>
      </w:r>
      <w:r>
        <w:t>"____" _________ 20__ г. по "___" _____________ 20__ г.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комиссия в составе: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председатель комиссии</w:t>
      </w:r>
    </w:p>
    <w:p w:rsidR="007B3333" w:rsidRDefault="007B3333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B3333">
        <w:tc>
          <w:tcPr>
            <w:tcW w:w="907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907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место работы, должность, фамилия, инициалы</w:t>
            </w:r>
          </w:p>
        </w:tc>
      </w:tr>
    </w:tbl>
    <w:p w:rsidR="007B3333" w:rsidRDefault="006F4249">
      <w:pPr>
        <w:pStyle w:val="ConsPlusNormal"/>
        <w:ind w:firstLine="540"/>
        <w:jc w:val="both"/>
      </w:pPr>
      <w:r>
        <w:t>члены комиссии:</w:t>
      </w:r>
    </w:p>
    <w:p w:rsidR="007B3333" w:rsidRDefault="007B3333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B3333">
        <w:tc>
          <w:tcPr>
            <w:tcW w:w="907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907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место работы, должность, фамилия, инициалы</w:t>
            </w:r>
          </w:p>
        </w:tc>
      </w:tr>
      <w:tr w:rsidR="007B3333">
        <w:tc>
          <w:tcPr>
            <w:tcW w:w="907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</w:tr>
      <w:tr w:rsidR="007B3333">
        <w:tc>
          <w:tcPr>
            <w:tcW w:w="907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center"/>
            </w:pPr>
            <w:r>
              <w:t>место работы, должность, фамилия, инициалы</w:t>
            </w:r>
          </w:p>
        </w:tc>
      </w:tr>
    </w:tbl>
    <w:p w:rsidR="007B3333" w:rsidRDefault="006F4249">
      <w:pPr>
        <w:pStyle w:val="ConsPlusNormal"/>
        <w:ind w:firstLine="540"/>
        <w:jc w:val="both"/>
      </w:pPr>
      <w:r>
        <w:t>провела проверку в рамках инспекционного контроля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______________________________________________________________________________</w:t>
      </w:r>
    </w:p>
    <w:p w:rsidR="007B3333" w:rsidRDefault="006F4249">
      <w:pPr>
        <w:pStyle w:val="ConsPlusNormal"/>
        <w:spacing w:before="240"/>
        <w:jc w:val="center"/>
      </w:pPr>
      <w:r>
        <w:t>наименование организации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с целью оценки его компетентности в выполнении калибровочных работ в соответствии с требованиями АСК и </w:t>
      </w:r>
      <w:hyperlink r:id="rId34" w:history="1">
        <w:r>
          <w:rPr>
            <w:color w:val="0000FF"/>
          </w:rPr>
          <w:t>ГОСТ ISO/IEC 17025-2019</w:t>
        </w:r>
      </w:hyperlink>
      <w:r>
        <w:t>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При проверке установлено: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...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Заключение комиссии: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Комиссия считает, что компетентность в выполнении калибровочных работ</w:t>
      </w:r>
    </w:p>
    <w:p w:rsidR="007B3333" w:rsidRDefault="006F4249">
      <w:pPr>
        <w:pStyle w:val="ConsPlusNormal"/>
        <w:spacing w:before="240"/>
        <w:jc w:val="center"/>
      </w:pPr>
      <w:r>
        <w:t>______________________________________________________________________________</w:t>
      </w:r>
    </w:p>
    <w:p w:rsidR="007B3333" w:rsidRDefault="006F4249">
      <w:pPr>
        <w:pStyle w:val="ConsPlusNormal"/>
        <w:jc w:val="center"/>
      </w:pPr>
      <w:r>
        <w:t>наименование организац</w:t>
      </w:r>
      <w:r>
        <w:t>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 xml:space="preserve">(не) соответствует требованиям АСК и </w:t>
      </w:r>
      <w:hyperlink r:id="rId35" w:history="1">
        <w:r>
          <w:rPr>
            <w:color w:val="0000FF"/>
          </w:rPr>
          <w:t>ГОСТ ISO/IEC 17025-2019</w:t>
        </w:r>
      </w:hyperlink>
      <w:r>
        <w:t>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Комиссия рекомендует:</w:t>
      </w:r>
    </w:p>
    <w:p w:rsidR="007B3333" w:rsidRDefault="006F4249">
      <w:pPr>
        <w:pStyle w:val="ConsPlusNormal"/>
        <w:spacing w:before="240"/>
        <w:jc w:val="center"/>
      </w:pPr>
      <w:r>
        <w:t>_______</w:t>
      </w:r>
      <w:r>
        <w:t>_______________________________________________________________________</w:t>
      </w:r>
    </w:p>
    <w:p w:rsidR="007B3333" w:rsidRDefault="006F4249">
      <w:pPr>
        <w:pStyle w:val="ConsPlusNormal"/>
        <w:jc w:val="center"/>
      </w:pPr>
      <w:r>
        <w:t>указываются рекомендации комиссии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Назначить срок проведения инспекционного контроля _______________________________</w:t>
      </w:r>
    </w:p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693"/>
        <w:gridCol w:w="3288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</w:t>
            </w:r>
            <w:r>
              <w:t>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</w:pPr>
            <w:r>
              <w:t>Члены комиссии: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</w:tbl>
    <w:p w:rsidR="007B3333" w:rsidRDefault="007B3333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665"/>
        <w:gridCol w:w="3345"/>
      </w:tblGrid>
      <w:tr w:rsidR="007B3333">
        <w:tc>
          <w:tcPr>
            <w:tcW w:w="3037" w:type="dxa"/>
            <w:tcMar>
              <w:left w:w="0" w:type="dxa"/>
              <w:right w:w="0" w:type="dxa"/>
            </w:tcMar>
          </w:tcPr>
          <w:p w:rsidR="007B3333" w:rsidRDefault="006F4249">
            <w:pPr>
              <w:pStyle w:val="ConsPlusNormal"/>
              <w:jc w:val="both"/>
            </w:pPr>
            <w:r>
              <w:t>С Актом ознакомлен:</w:t>
            </w:r>
          </w:p>
          <w:p w:rsidR="007B3333" w:rsidRDefault="006F4249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7B3333" w:rsidRDefault="007B3333">
            <w:pPr>
              <w:pStyle w:val="ConsPlusNormal"/>
            </w:pPr>
          </w:p>
          <w:p w:rsidR="007B3333" w:rsidRDefault="006F4249">
            <w:pPr>
              <w:pStyle w:val="ConsPlusNormal"/>
              <w:jc w:val="center"/>
            </w:pPr>
            <w:r>
              <w:t>_______________________</w:t>
            </w:r>
          </w:p>
          <w:p w:rsidR="007B3333" w:rsidRDefault="006F4249">
            <w:pPr>
              <w:pStyle w:val="ConsPlusNormal"/>
              <w:jc w:val="center"/>
            </w:pPr>
            <w:r>
              <w:t>фамилия, инициалы</w:t>
            </w:r>
          </w:p>
        </w:tc>
      </w:tr>
    </w:tbl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right"/>
        <w:outlineLvl w:val="1"/>
      </w:pPr>
      <w:bookmarkStart w:id="34" w:name="Par1050"/>
      <w:bookmarkEnd w:id="34"/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7B3333">
      <w:pPr>
        <w:pStyle w:val="ConsPlusNormal"/>
        <w:jc w:val="right"/>
        <w:outlineLvl w:val="1"/>
      </w:pPr>
    </w:p>
    <w:p w:rsidR="007B3333" w:rsidRDefault="006F4249">
      <w:pPr>
        <w:pStyle w:val="ConsPlusNormal"/>
        <w:jc w:val="right"/>
        <w:outlineLvl w:val="1"/>
      </w:pPr>
      <w:r>
        <w:t>Приложение N 2</w:t>
      </w:r>
    </w:p>
    <w:p w:rsidR="007B3333" w:rsidRDefault="006F4249">
      <w:pPr>
        <w:pStyle w:val="ConsPlusNormal"/>
        <w:jc w:val="right"/>
      </w:pPr>
      <w:r>
        <w:t>к приказу Госкорпорации "Росатом"</w:t>
      </w:r>
    </w:p>
    <w:p w:rsidR="007B3333" w:rsidRDefault="006F4249">
      <w:pPr>
        <w:pStyle w:val="ConsPlusNormal"/>
        <w:jc w:val="right"/>
      </w:pPr>
      <w:r>
        <w:t>от 01.12.2017 г. N 1/1210-П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Title"/>
        <w:jc w:val="center"/>
      </w:pPr>
      <w:r>
        <w:t>Изменения,</w:t>
      </w:r>
    </w:p>
    <w:p w:rsidR="007B3333" w:rsidRDefault="006F4249">
      <w:pPr>
        <w:pStyle w:val="ConsPlusTitle"/>
        <w:jc w:val="center"/>
      </w:pPr>
      <w:r>
        <w:t>которые вносятся в приказ Госкорпорации "Росатом"</w:t>
      </w:r>
    </w:p>
    <w:p w:rsidR="007B3333" w:rsidRDefault="006F4249">
      <w:pPr>
        <w:pStyle w:val="ConsPlusTitle"/>
        <w:jc w:val="center"/>
      </w:pPr>
      <w:r>
        <w:t xml:space="preserve">от </w:t>
      </w:r>
      <w:r>
        <w:t>16.11.2015 N 1/1092-П "О метрологической службе</w:t>
      </w:r>
    </w:p>
    <w:p w:rsidR="007B3333" w:rsidRDefault="006F4249">
      <w:pPr>
        <w:pStyle w:val="ConsPlusTitle"/>
        <w:jc w:val="center"/>
      </w:pPr>
      <w:r>
        <w:t>Госкорпорации "Росатом"</w:t>
      </w:r>
    </w:p>
    <w:p w:rsidR="007B3333" w:rsidRDefault="007B3333">
      <w:pPr>
        <w:pStyle w:val="ConsPlusNormal"/>
        <w:jc w:val="both"/>
      </w:pPr>
    </w:p>
    <w:p w:rsidR="007B3333" w:rsidRDefault="006F4249">
      <w:pPr>
        <w:pStyle w:val="ConsPlusNormal"/>
        <w:ind w:firstLine="540"/>
        <w:jc w:val="both"/>
      </w:pPr>
      <w:r>
        <w:t>1. В приложении N 1 "Положение о системе метрологического обеспечения в атомной отрасли":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1.1. Пункт 4.2 абзац восьмой изложить в следующей редакции: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"МС Организаций, в том числе МС э</w:t>
      </w:r>
      <w:r>
        <w:t>кспертных Организаций по калибровке".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1.2. В пункте 4.2.3.3: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1.2.1. Абзац двадцатый изложить в следующей редакции: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"осуществляет иные полномочия, установленные федеральным законодательством в области обеспечения единства измерений, нормативными актами Госк</w:t>
      </w:r>
      <w:r>
        <w:t>орпорации "Росатом".".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1.2.2. Дополнить абзацами следующего содержания: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"формирует планы работ по оценке и подтверждению компетентности в выполнении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участвует в повышении квалификации специалистов по выполнению калибровочных работ, в с</w:t>
      </w:r>
      <w:r>
        <w:t>еминарах по обмену опытом калибровочных лабораторий;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по предложению главного метролога Госкорпорации "Росатом" участвует в составе комиссий по оценке и подтверждению компетентности в выполнении калибровочных работ;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организует рассмотрение спорных вопросов,</w:t>
      </w:r>
      <w:r>
        <w:t xml:space="preserve"> претензий и рекламаций по </w:t>
      </w:r>
      <w:r>
        <w:lastRenderedPageBreak/>
        <w:t>направлениям метрологической деятельности, являющимся общими для нескольких дивизионов и (или) Организаций;".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1.3. Дополнить пункт 4.2.5.3 абзацем следующего содержания: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"по предложению главного метролога Госкорпорации "Росатом" </w:t>
      </w:r>
      <w:r>
        <w:t>участвует в составе комиссий по оценке и подтверждению компетентности в выполнении калибровочных работ.".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1.4. Пункт 4.2.6 изложить в следующей редакции: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"4.2.6. БОМС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4.2.6.1. Для решения задач метрологического обеспечения отдельных направлений деятельност</w:t>
      </w:r>
      <w:r>
        <w:t>и дивизиона из числа Организаций дивизиона могут назначаться БОМС дивизионов.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4.2.6.2. Для решения задач метрологического обеспечения отдельных направлений деятельности, являющихся общими для нескольких дивизионов и (или) Организаций, из числа Организаций </w:t>
      </w:r>
      <w:r>
        <w:t>по инициативе главного метролога Госкорпорации "Росатом" назначаются междивизиональные БОМС.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4.2.6.3. БОМС дивизиона назначаются приказом УК по согласованию с такой Организацией и главным метрологом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4.2.6.4. Междивизиональные БОМС </w:t>
      </w:r>
      <w:r>
        <w:t>назначаются приказом Госкорпорации "Росатом" по согласованию с такой Организацией и главным метрологом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4.2.6.5. БОМС действует в соответствии с Положением о ней, утверждаемым Организацией, на которую возложены функции БОМС, по согл</w:t>
      </w:r>
      <w:r>
        <w:t>асованию с УК соответствующего дивизиона (для БОМС дивизиона) и с главным метрологом Госкорпорации "Росатом". Положение о БОМС разрабатывается в соответствии с настоящим Положением и типовым положением о БОМС.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 xml:space="preserve">4.2.6.6. БОМС, по предложению главного </w:t>
      </w:r>
      <w:r>
        <w:t>метролога Госкорпорации "Росатом", участвует в составе комиссий по оценке и подтверждению компетентности в выполнении калибровочных работ.".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2. В приложении N 3 "Типовое положение о базовой организации метрологической службы Госкорпорации "Росатом":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2.1. П</w:t>
      </w:r>
      <w:r>
        <w:t>ункты 3.3 и 3.4 изложить в следующей редакции: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"3.3. Для решения задач метрологического обеспечения отдельных направлений деятельности, являющихся общими для нескольких дивизионов и (или) Организаций, из числа Организаций по инициативе главного метролога Г</w:t>
      </w:r>
      <w:r>
        <w:t>оскорпорации "Росатом" назначаются междивизиональные БОМС.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lastRenderedPageBreak/>
        <w:t>Междивизиональные БОМС назначаются приказом Госкорпорации "Росатом" по согласованию с такой Организацией и главным метрологом Госкорпорации "Росатом".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3.4. БОМС назначаются из числа ведущих научно-</w:t>
      </w:r>
      <w:r>
        <w:t>производственных, производственных, научно-исследовательских, проектно-конструкторских и технологических Организаций. Функции БОМС возлагаются на одно из структурных подразделений Организации. Руководство по выполнению функций БОМС осуществляет главный мет</w:t>
      </w:r>
      <w:r>
        <w:t>ролог Организации.".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2.2. Дополнить пунктом 5.7 следующего содержания:</w:t>
      </w:r>
    </w:p>
    <w:p w:rsidR="007B3333" w:rsidRDefault="006F4249">
      <w:pPr>
        <w:pStyle w:val="ConsPlusNormal"/>
        <w:spacing w:before="240"/>
        <w:ind w:firstLine="540"/>
        <w:jc w:val="both"/>
      </w:pPr>
      <w:r>
        <w:t>"5.7. Междивизиональные БОМС также осуществляют функции, установленные иными локальными нормативными актами Госкорпорации "Росатом".".</w:t>
      </w: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jc w:val="both"/>
      </w:pPr>
    </w:p>
    <w:p w:rsidR="007B3333" w:rsidRDefault="007B3333">
      <w:pPr>
        <w:pStyle w:val="ConsPlusNormal"/>
        <w:spacing w:before="100" w:after="100"/>
        <w:jc w:val="both"/>
        <w:rPr>
          <w:sz w:val="2"/>
        </w:rPr>
      </w:pPr>
    </w:p>
    <w:sectPr w:rsidR="007B3333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3"/>
    <w:rsid w:val="006F4249"/>
    <w:rsid w:val="007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DC59-B6CD-46E2-83D1-7DCD23C9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extList0">
    <w:name w:val="ConsPlusTextList_0"/>
    <w:link w:val="ConsPlusTextList00"/>
    <w:pPr>
      <w:widowControl w:val="0"/>
    </w:pPr>
    <w:rPr>
      <w:rFonts w:ascii="Times New Roman" w:hAnsi="Times New Roman"/>
      <w:sz w:val="24"/>
    </w:rPr>
  </w:style>
  <w:style w:type="character" w:customStyle="1" w:styleId="ConsPlusTextList00">
    <w:name w:val="ConsPlusTextList_0"/>
    <w:link w:val="ConsPlusTextList0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JurTerm">
    <w:name w:val="ConsPlusJurTerm"/>
    <w:link w:val="ConsPlusJurTerm0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b w:val="0"/>
      <w:i w:val="0"/>
      <w:strike w:val="0"/>
      <w:sz w:val="24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extList">
    <w:name w:val="ConsPlusTextList"/>
    <w:link w:val="ConsPlusTextList1"/>
    <w:pPr>
      <w:widowControl w:val="0"/>
    </w:pPr>
    <w:rPr>
      <w:rFonts w:ascii="Times New Roman" w:hAnsi="Times New Roman"/>
      <w:sz w:val="24"/>
    </w:rPr>
  </w:style>
  <w:style w:type="character" w:customStyle="1" w:styleId="ConsPlusTextList1">
    <w:name w:val="ConsPlusTextList"/>
    <w:link w:val="ConsPlusTextList"/>
    <w:rPr>
      <w:rFonts w:ascii="Times New Roman" w:hAnsi="Times New Roman"/>
      <w:b w:val="0"/>
      <w:i w:val="0"/>
      <w:strike w:val="0"/>
      <w:sz w:val="24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b w:val="0"/>
      <w:i w:val="0"/>
      <w:strike w:val="0"/>
      <w:sz w:val="18"/>
      <w:u w:val="non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4"/>
      <w:u w:val="none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ENovikov\AppData\Local\Temp\cma2\doc_0900012d36ab575d\03a8c54b-645c-4c8f-b368-5a556065c13b\&#1056;&#1086;&#1089;&#1072;&#1090;&#1086;&#1084;" TargetMode="External"/><Relationship Id="rId18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26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21" Type="http://schemas.openxmlformats.org/officeDocument/2006/relationships/hyperlink" Target="file:///C:\Users\GENovikov\AppData\Local\Temp\cma2\doc_0900012d36ab575d\03a8c54b-645c-4c8f-b368-5a556065c13b\&#1056;&#1086;&#1089;&#1072;&#1090;&#1086;&#1084;" TargetMode="External"/><Relationship Id="rId34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7" Type="http://schemas.openxmlformats.org/officeDocument/2006/relationships/hyperlink" Target="consultantplus://offline/ref=8C2F2B576341E33CE795ACD6F26553DC58A6F3CF36141C13905A37FEDC6AAC598813DE455AEC35641E21F5ACB09E8B38F0B5F2F56177F69CAFA4M" TargetMode="External"/><Relationship Id="rId12" Type="http://schemas.openxmlformats.org/officeDocument/2006/relationships/hyperlink" Target="file:///C:\Users\GENovikov\AppData\Local\Temp\cma2\doc_0900012d36ab575d\03a8c54b-645c-4c8f-b368-5a556065c13b\&#1056;&#1086;&#1089;&#1072;&#1090;&#1086;&#1084;" TargetMode="External"/><Relationship Id="rId17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25" Type="http://schemas.openxmlformats.org/officeDocument/2006/relationships/image" Target="media/image1.png"/><Relationship Id="rId33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2F2B576341E33CE795ACD6F26553DC58A6F3CF36141C13905A37FEDC6AAC598813DE455AEC35641E21F5ACB09E8B38F0B5F2F56177F69CAFA4M" TargetMode="External"/><Relationship Id="rId20" Type="http://schemas.openxmlformats.org/officeDocument/2006/relationships/hyperlink" Target="file:///C:\Users\GENovikov\AppData\Local\Temp\cma2\doc_0900012d36ab575d\03a8c54b-645c-4c8f-b368-5a556065c13b\&#1056;&#1086;&#1089;&#1072;&#1090;&#1086;&#1084;" TargetMode="External"/><Relationship Id="rId29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F2B576341E33CE795ACD6F26553DC58A5F8C5371C1C13905A37FEDC6AAC598813DE455AEC35641E21F5ACB09E8B38F0B5F2F56177F69CAFA4M" TargetMode="External"/><Relationship Id="rId11" Type="http://schemas.openxmlformats.org/officeDocument/2006/relationships/hyperlink" Target="file:///C:\Users\GENovikov\AppData\Local\Temp\cma2\doc_0900012d36ab575d\03a8c54b-645c-4c8f-b368-5a556065c13b\&#1056;&#1086;&#1089;&#1072;&#1090;&#1086;&#1084;" TargetMode="External"/><Relationship Id="rId24" Type="http://schemas.openxmlformats.org/officeDocument/2006/relationships/hyperlink" Target="consultantplus://offline/ref=8C2F2B576341E33CE795ACD6F26553DC5AA0F8CE3F131C13905A37FEDC6AAC598813DE455AEC35641921F5ACB09E8B38F0B5F2F56177F69CAFA4M" TargetMode="External"/><Relationship Id="rId32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C2F2B576341E33CE795ACD6F26553DC58ABF8C1331C1C13905A37FEDC6AAC598813DE455AEC35641921F5ACB09E8B38F0B5F2F56177F69CAFA4M" TargetMode="External"/><Relationship Id="rId15" Type="http://schemas.openxmlformats.org/officeDocument/2006/relationships/hyperlink" Target="file:///C:\Users\GENovikov\AppData\Local\Temp\cma2\doc_0900012d36ab575d\03a8c54b-645c-4c8f-b368-5a556065c13b\&#1056;&#1086;&#1089;&#1072;&#1090;&#1086;&#1084;" TargetMode="External"/><Relationship Id="rId23" Type="http://schemas.openxmlformats.org/officeDocument/2006/relationships/hyperlink" Target="consultantplus://offline/ref=8C2F2B576341E33CE795ACD6F26553DC58A5F8C5371C1C13905A37FEDC6AAC598813DE455AEC35641E21F5ACB09E8B38F0B5F2F56177F69CAFA4M" TargetMode="External"/><Relationship Id="rId28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GENovikov\AppData\Local\Temp\cma2\doc_0900012d36ab575d\03a8c54b-645c-4c8f-b368-5a556065c13b\&#1056;&#1086;&#1089;&#1072;&#1090;&#1086;&#1084;" TargetMode="External"/><Relationship Id="rId19" Type="http://schemas.openxmlformats.org/officeDocument/2006/relationships/hyperlink" Target="file:///C:\Users\GENovikov\AppData\Local\Temp\cma2\doc_0900012d36ab575d\03a8c54b-645c-4c8f-b368-5a556065c13b\&#1056;&#1086;&#1089;&#1072;&#1090;&#1086;&#1084;" TargetMode="External"/><Relationship Id="rId31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4" Type="http://schemas.openxmlformats.org/officeDocument/2006/relationships/hyperlink" Target="file:///C:\Users\GENovikov\AppData\Local\Temp\cma2\doc_0900012d36ab575d\03a8c54b-645c-4c8f-b368-5a556065c13b\&#1089;&#1088;&#1077;&#1076;&#1089;&#1090;&#1074;&#1086;" TargetMode="External"/><Relationship Id="rId9" Type="http://schemas.openxmlformats.org/officeDocument/2006/relationships/hyperlink" Target="consultantplus://offline/ref=8C2F2B576341E33CE795ACD6F26553DC58A6F3CF36141C13905A37FEDC6AAC598813DE455AEC35661A21F5ACB09E8B38F0B5F2F56177F69CAFA4M" TargetMode="External"/><Relationship Id="rId14" Type="http://schemas.openxmlformats.org/officeDocument/2006/relationships/hyperlink" Target="file:///C:\Users\GENovikov\AppData\Local\Temp\cma2\doc_0900012d36ab575d\03a8c54b-645c-4c8f-b368-5a556065c13b\&#1056;&#1086;&#1089;&#1072;&#1090;&#1086;&#1084;" TargetMode="External"/><Relationship Id="rId22" Type="http://schemas.openxmlformats.org/officeDocument/2006/relationships/hyperlink" Target="consultantplus://offline/ref=8C2F2B576341E33CE795ACD6F26553DC58A6F3CF36141C13905A37FEDC6AAC598813DE455AEC35641E21F5ACB09E8B38F0B5F2F56177F69CAFA4M" TargetMode="External"/><Relationship Id="rId27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30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35" Type="http://schemas.openxmlformats.org/officeDocument/2006/relationships/hyperlink" Target="consultantplus://offline/ref=8C2F2B576341E33CE795ACD6F26553DC5AA0F8CE3F131C13905A37FEDC6AAC598813DE455AEC35641E21F5ACB09E8B38F0B5F2F56177F69CAFA4M" TargetMode="External"/><Relationship Id="rId8" Type="http://schemas.openxmlformats.org/officeDocument/2006/relationships/hyperlink" Target="consultantplus://offline/ref=8C2F2B576341E33CE795ACD6F26553DC58A6F3CF36141C13905A37FEDC6AAC598813DE455AEC35641E21F5ACB09E8B38F0B5F2F56177F69CAFA4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10902</Words>
  <Characters>62147</Characters>
  <Application>Microsoft Office Word</Application>
  <DocSecurity>4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Григорий Евгеньевич</dc:creator>
  <cp:lastModifiedBy>Новиков Григорий Евгеньевич</cp:lastModifiedBy>
  <cp:revision>2</cp:revision>
  <dcterms:created xsi:type="dcterms:W3CDTF">2023-03-28T08:32:00Z</dcterms:created>
  <dcterms:modified xsi:type="dcterms:W3CDTF">2023-03-28T08:32:00Z</dcterms:modified>
</cp:coreProperties>
</file>